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ADC29" w14:textId="77777777" w:rsidR="00F0161C" w:rsidRDefault="00F0161C" w:rsidP="00F0161C">
      <w:pPr>
        <w:pStyle w:val="Title"/>
      </w:pPr>
      <w:r>
        <w:t xml:space="preserve">Economics of Business Strategy (ECBS) Module Assignment </w:t>
      </w:r>
    </w:p>
    <w:p w14:paraId="174CF90C" w14:textId="77777777" w:rsidR="00F0161C" w:rsidRPr="00620D06" w:rsidRDefault="00F0161C" w:rsidP="00F0161C"/>
    <w:p w14:paraId="7EFB0744" w14:textId="77777777" w:rsidR="00F0161C" w:rsidRPr="00E1390C" w:rsidRDefault="00F0161C" w:rsidP="00F0161C">
      <w:pPr>
        <w:pStyle w:val="Heading1"/>
        <w:rPr>
          <w:color w:val="633E88"/>
          <w:sz w:val="44"/>
          <w:szCs w:val="44"/>
        </w:rPr>
      </w:pPr>
      <w:bookmarkStart w:id="0" w:name="_Toc100696374"/>
      <w:bookmarkStart w:id="1" w:name="_Toc101213516"/>
      <w:bookmarkStart w:id="2" w:name="_Toc101217890"/>
      <w:bookmarkStart w:id="3" w:name="_Toc101615952"/>
      <w:bookmarkStart w:id="4" w:name="_Toc101616009"/>
      <w:bookmarkStart w:id="5" w:name="_Toc101697577"/>
      <w:bookmarkStart w:id="6" w:name="_Toc110957136"/>
      <w:bookmarkStart w:id="7" w:name="_Toc110979663"/>
      <w:bookmarkStart w:id="8" w:name="_Toc110980024"/>
      <w:bookmarkStart w:id="9" w:name="_Toc110980108"/>
      <w:bookmarkStart w:id="10" w:name="_Toc110980494"/>
      <w:bookmarkStart w:id="11" w:name="_Toc112354116"/>
      <w:bookmarkStart w:id="12" w:name="_Toc112354156"/>
      <w:bookmarkStart w:id="13" w:name="_Toc113316102"/>
      <w:r w:rsidRPr="00E1390C">
        <w:rPr>
          <w:color w:val="633E88"/>
          <w:sz w:val="44"/>
          <w:szCs w:val="44"/>
        </w:rPr>
        <w:t>GROUP REPORT (BLUE 1)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 w14:paraId="12F15A88" w14:textId="7413D90E" w:rsidR="00F0161C" w:rsidRDefault="00F0161C" w:rsidP="007A6DCD">
      <w:pPr>
        <w:spacing w:line="276" w:lineRule="auto"/>
        <w:rPr>
          <w:b/>
          <w:bCs/>
          <w:sz w:val="28"/>
          <w:szCs w:val="28"/>
          <w:u w:val="single"/>
        </w:rPr>
      </w:pPr>
    </w:p>
    <w:p w14:paraId="387AD57D" w14:textId="226A6170" w:rsidR="00F0161C" w:rsidRPr="0068706B" w:rsidRDefault="00F0161C" w:rsidP="007A6DCD">
      <w:pPr>
        <w:spacing w:line="276" w:lineRule="auto"/>
        <w:rPr>
          <w:rFonts w:ascii="Arial" w:hAnsi="Arial" w:cs="Arial"/>
          <w:b/>
          <w:bCs/>
          <w:sz w:val="22"/>
          <w:szCs w:val="22"/>
          <w:u w:val="single"/>
        </w:rPr>
      </w:pPr>
      <w:r w:rsidRPr="0068706B">
        <w:rPr>
          <w:rFonts w:ascii="Arial" w:hAnsi="Arial" w:cs="Arial"/>
          <w:b/>
          <w:bCs/>
          <w:sz w:val="22"/>
          <w:szCs w:val="22"/>
          <w:u w:val="single"/>
        </w:rPr>
        <w:t>EMBA</w:t>
      </w:r>
      <w:r w:rsidR="0068706B" w:rsidRPr="0068706B">
        <w:rPr>
          <w:rFonts w:ascii="Arial" w:hAnsi="Arial" w:cs="Arial"/>
          <w:b/>
          <w:bCs/>
          <w:sz w:val="22"/>
          <w:szCs w:val="22"/>
          <w:u w:val="single"/>
        </w:rPr>
        <w:t xml:space="preserve"> Jan 2022 Cohort</w:t>
      </w:r>
    </w:p>
    <w:p w14:paraId="53564DDF" w14:textId="26D9F74F" w:rsidR="007A6DCD" w:rsidRPr="0068706B" w:rsidRDefault="007A6DCD" w:rsidP="007A6DCD">
      <w:pPr>
        <w:spacing w:line="276" w:lineRule="auto"/>
        <w:rPr>
          <w:rFonts w:ascii="Arial" w:hAnsi="Arial" w:cs="Arial"/>
          <w:b/>
          <w:bCs/>
          <w:sz w:val="22"/>
          <w:szCs w:val="22"/>
          <w:u w:val="single"/>
        </w:rPr>
      </w:pPr>
      <w:r w:rsidRPr="0068706B">
        <w:rPr>
          <w:rFonts w:ascii="Arial" w:hAnsi="Arial" w:cs="Arial"/>
          <w:b/>
          <w:bCs/>
          <w:sz w:val="22"/>
          <w:szCs w:val="22"/>
          <w:u w:val="single"/>
        </w:rPr>
        <w:t>References used for creating resources capabilities framework in Figure 8</w:t>
      </w:r>
    </w:p>
    <w:p w14:paraId="37D4A6FB" w14:textId="77777777" w:rsidR="007A6DCD" w:rsidRPr="0068706B" w:rsidRDefault="007A6DCD" w:rsidP="007A6DCD">
      <w:pPr>
        <w:spacing w:line="276" w:lineRule="auto"/>
        <w:rPr>
          <w:rFonts w:ascii="Arial" w:hAnsi="Arial" w:cs="Arial"/>
          <w:sz w:val="22"/>
          <w:szCs w:val="22"/>
        </w:rPr>
      </w:pPr>
    </w:p>
    <w:p w14:paraId="7B81EE10" w14:textId="57461D08" w:rsidR="007A6DCD" w:rsidRPr="0068706B" w:rsidRDefault="007A6DCD" w:rsidP="007A6DCD">
      <w:pPr>
        <w:spacing w:line="276" w:lineRule="auto"/>
        <w:rPr>
          <w:rFonts w:ascii="Arial" w:hAnsi="Arial" w:cs="Arial"/>
          <w:sz w:val="22"/>
          <w:szCs w:val="22"/>
        </w:rPr>
      </w:pPr>
      <w:r w:rsidRPr="0068706B">
        <w:rPr>
          <w:rFonts w:ascii="Arial" w:hAnsi="Arial" w:cs="Arial"/>
          <w:sz w:val="22"/>
          <w:szCs w:val="22"/>
        </w:rPr>
        <w:t>Access to Medicine Index. (2021). Competition is close for top positions. https://accesstomedicinefoundation.org/access-to-medicine-index/2021-ranking#</w:t>
      </w:r>
    </w:p>
    <w:p w14:paraId="4296DEF0" w14:textId="77777777" w:rsidR="007A6DCD" w:rsidRPr="0068706B" w:rsidRDefault="007A6DCD" w:rsidP="007A6DCD">
      <w:pPr>
        <w:spacing w:line="276" w:lineRule="auto"/>
        <w:rPr>
          <w:rFonts w:ascii="Arial" w:hAnsi="Arial" w:cs="Arial"/>
          <w:sz w:val="22"/>
          <w:szCs w:val="22"/>
        </w:rPr>
      </w:pPr>
      <w:r w:rsidRPr="0068706B">
        <w:rPr>
          <w:rFonts w:ascii="Arial" w:hAnsi="Arial" w:cs="Arial"/>
          <w:sz w:val="22"/>
          <w:szCs w:val="22"/>
        </w:rPr>
        <w:t>Capital IQ. (n.d.-a). GSK Financials - Key Stats. Retrieved September 6, 2022, from https://www.capitaliq.com/CIQDotNet/Financial/KeyStats.aspx?CompanyId=275442&amp;statekey=f545b6cc03ba44469e5863e9ea6047d1</w:t>
      </w:r>
    </w:p>
    <w:p w14:paraId="30F3723B" w14:textId="77777777" w:rsidR="007A6DCD" w:rsidRPr="0068706B" w:rsidRDefault="007A6DCD" w:rsidP="007A6DCD">
      <w:pPr>
        <w:spacing w:line="276" w:lineRule="auto"/>
        <w:rPr>
          <w:rFonts w:ascii="Arial" w:hAnsi="Arial" w:cs="Arial"/>
          <w:sz w:val="22"/>
          <w:szCs w:val="22"/>
        </w:rPr>
      </w:pPr>
      <w:r w:rsidRPr="0068706B">
        <w:rPr>
          <w:rFonts w:ascii="Arial" w:hAnsi="Arial" w:cs="Arial"/>
          <w:sz w:val="22"/>
          <w:szCs w:val="22"/>
        </w:rPr>
        <w:t>Capital IQ. (n.d.-b). Pfizer Inc Quick Comparable Analysis - Credit Health Panel. Retrieved September 5, 2022, from https://www.capitaliq.com/CIQDotNet/Comps/Comparables.aspx?compsId=-3000&amp;companyId=162270&amp;tempId=1&amp;tab=64&amp;statekey=13c0ecdea1cb4c5599b09b28f4c19037</w:t>
      </w:r>
    </w:p>
    <w:p w14:paraId="0672217F" w14:textId="77777777" w:rsidR="007A6DCD" w:rsidRPr="0068706B" w:rsidRDefault="007A6DCD" w:rsidP="007A6DCD">
      <w:pPr>
        <w:spacing w:line="276" w:lineRule="auto"/>
        <w:rPr>
          <w:rFonts w:ascii="Arial" w:hAnsi="Arial" w:cs="Arial"/>
          <w:sz w:val="22"/>
          <w:szCs w:val="22"/>
        </w:rPr>
      </w:pPr>
      <w:r w:rsidRPr="0068706B">
        <w:rPr>
          <w:rFonts w:ascii="Arial" w:hAnsi="Arial" w:cs="Arial"/>
          <w:sz w:val="22"/>
          <w:szCs w:val="22"/>
        </w:rPr>
        <w:t>GSK. (n.d.-a). GSK - The Code. Retrieved September 6, 2022, from https://www.gsk.com/media/8519/the-code-printable-version.pdf</w:t>
      </w:r>
    </w:p>
    <w:p w14:paraId="637BB35E" w14:textId="77777777" w:rsidR="007A6DCD" w:rsidRPr="0068706B" w:rsidRDefault="007A6DCD" w:rsidP="007A6DCD">
      <w:pPr>
        <w:spacing w:line="276" w:lineRule="auto"/>
        <w:rPr>
          <w:rFonts w:ascii="Arial" w:hAnsi="Arial" w:cs="Arial"/>
          <w:sz w:val="22"/>
          <w:szCs w:val="22"/>
        </w:rPr>
      </w:pPr>
      <w:r w:rsidRPr="0068706B">
        <w:rPr>
          <w:rFonts w:ascii="Arial" w:hAnsi="Arial" w:cs="Arial"/>
          <w:sz w:val="22"/>
          <w:szCs w:val="22"/>
        </w:rPr>
        <w:t>GSK. (n.d.-b). GSK R&amp;D Locations. Retrieved September 6, 2022, from https://www.gsk.com/en-gb/innovation/rd-locations/</w:t>
      </w:r>
    </w:p>
    <w:p w14:paraId="1B9CF9C3" w14:textId="77777777" w:rsidR="007A6DCD" w:rsidRPr="0068706B" w:rsidRDefault="007A6DCD" w:rsidP="007A6DCD">
      <w:pPr>
        <w:spacing w:line="276" w:lineRule="auto"/>
        <w:rPr>
          <w:rFonts w:ascii="Arial" w:hAnsi="Arial" w:cs="Arial"/>
          <w:sz w:val="22"/>
          <w:szCs w:val="22"/>
        </w:rPr>
      </w:pPr>
      <w:r w:rsidRPr="0068706B">
        <w:rPr>
          <w:rFonts w:ascii="Arial" w:hAnsi="Arial" w:cs="Arial"/>
          <w:sz w:val="22"/>
          <w:szCs w:val="22"/>
        </w:rPr>
        <w:t>GSK. (n.d.-c). Our global and regional hubs. Retrieved September 6, 2022, from https://www.gsk.com/en-gb/careers/our-global-and-regional-hubs/</w:t>
      </w:r>
    </w:p>
    <w:p w14:paraId="702674CB" w14:textId="77777777" w:rsidR="007A6DCD" w:rsidRPr="0068706B" w:rsidRDefault="007A6DCD" w:rsidP="007A6DCD">
      <w:pPr>
        <w:spacing w:line="276" w:lineRule="auto"/>
        <w:rPr>
          <w:rFonts w:ascii="Arial" w:hAnsi="Arial" w:cs="Arial"/>
          <w:sz w:val="22"/>
          <w:szCs w:val="22"/>
        </w:rPr>
      </w:pPr>
      <w:r w:rsidRPr="0068706B">
        <w:rPr>
          <w:rFonts w:ascii="Arial" w:hAnsi="Arial" w:cs="Arial"/>
          <w:sz w:val="22"/>
          <w:szCs w:val="22"/>
        </w:rPr>
        <w:t>GSK. (2021a). GSK Annual Report 2021. https://www.gsk.com/media/7462/annual-report-2021.pdf</w:t>
      </w:r>
    </w:p>
    <w:p w14:paraId="0E5B907A" w14:textId="77777777" w:rsidR="007A6DCD" w:rsidRPr="0068706B" w:rsidRDefault="007A6DCD" w:rsidP="007A6DCD">
      <w:pPr>
        <w:spacing w:line="276" w:lineRule="auto"/>
        <w:rPr>
          <w:rFonts w:ascii="Arial" w:hAnsi="Arial" w:cs="Arial"/>
          <w:sz w:val="22"/>
          <w:szCs w:val="22"/>
        </w:rPr>
      </w:pPr>
      <w:r w:rsidRPr="0068706B">
        <w:rPr>
          <w:rFonts w:ascii="Arial" w:hAnsi="Arial" w:cs="Arial"/>
          <w:sz w:val="22"/>
          <w:szCs w:val="22"/>
        </w:rPr>
        <w:t>GSK. (2021b). GSK ESG Performance Report 2021. https://www.gsk.com/media/7473/esg-performance-report-2021.pdf</w:t>
      </w:r>
    </w:p>
    <w:p w14:paraId="69C24E31" w14:textId="77777777" w:rsidR="007A6DCD" w:rsidRPr="0068706B" w:rsidRDefault="007A6DCD" w:rsidP="007A6DCD">
      <w:pPr>
        <w:spacing w:line="276" w:lineRule="auto"/>
        <w:rPr>
          <w:rFonts w:ascii="Arial" w:hAnsi="Arial" w:cs="Arial"/>
          <w:sz w:val="22"/>
          <w:szCs w:val="22"/>
        </w:rPr>
      </w:pPr>
      <w:r w:rsidRPr="0068706B">
        <w:rPr>
          <w:rFonts w:ascii="Arial" w:hAnsi="Arial" w:cs="Arial"/>
          <w:sz w:val="22"/>
          <w:szCs w:val="22"/>
        </w:rPr>
        <w:t>Market Line. (2022a). GSK PLC - Company Deals. https://advantage.marketline.com/Company/CompanyDeals/glaxosmithkline_plc</w:t>
      </w:r>
    </w:p>
    <w:p w14:paraId="5E3E9EA4" w14:textId="77777777" w:rsidR="007A6DCD" w:rsidRPr="0068706B" w:rsidRDefault="007A6DCD" w:rsidP="007A6DCD">
      <w:pPr>
        <w:spacing w:line="276" w:lineRule="auto"/>
        <w:rPr>
          <w:rFonts w:ascii="Arial" w:hAnsi="Arial" w:cs="Arial"/>
          <w:sz w:val="22"/>
          <w:szCs w:val="22"/>
        </w:rPr>
      </w:pPr>
      <w:r w:rsidRPr="0068706B">
        <w:rPr>
          <w:rFonts w:ascii="Arial" w:hAnsi="Arial" w:cs="Arial"/>
          <w:sz w:val="22"/>
          <w:szCs w:val="22"/>
        </w:rPr>
        <w:t xml:space="preserve">Market Line. (2022b, July 18). Completion of the demerger and admission of shares in </w:t>
      </w:r>
      <w:proofErr w:type="spellStart"/>
      <w:r w:rsidRPr="0068706B">
        <w:rPr>
          <w:rFonts w:ascii="Arial" w:hAnsi="Arial" w:cs="Arial"/>
          <w:sz w:val="22"/>
          <w:szCs w:val="22"/>
        </w:rPr>
        <w:t>Haleon</w:t>
      </w:r>
      <w:proofErr w:type="spellEnd"/>
      <w:r w:rsidRPr="0068706B">
        <w:rPr>
          <w:rFonts w:ascii="Arial" w:hAnsi="Arial" w:cs="Arial"/>
          <w:sz w:val="22"/>
          <w:szCs w:val="22"/>
        </w:rPr>
        <w:t>. https://advantage.marketline.com/News/completion-of-the-demerger-and-admission-of-shares-in-haleon</w:t>
      </w:r>
    </w:p>
    <w:p w14:paraId="2358E88D" w14:textId="77777777" w:rsidR="007A6DCD" w:rsidRPr="0068706B" w:rsidRDefault="007A6DCD" w:rsidP="007A6DCD">
      <w:pPr>
        <w:spacing w:line="276" w:lineRule="auto"/>
        <w:rPr>
          <w:rFonts w:ascii="Arial" w:hAnsi="Arial" w:cs="Arial"/>
          <w:sz w:val="22"/>
          <w:szCs w:val="22"/>
        </w:rPr>
      </w:pPr>
      <w:r w:rsidRPr="0068706B">
        <w:rPr>
          <w:rFonts w:ascii="Arial" w:hAnsi="Arial" w:cs="Arial"/>
          <w:sz w:val="22"/>
          <w:szCs w:val="22"/>
        </w:rPr>
        <w:t>Market Line. (2022c, September 1). GSK PLC - SWOT. https://advantage.marketline.com/Company/Profile/glaxosmithkline_plc?swot</w:t>
      </w:r>
    </w:p>
    <w:p w14:paraId="1CDF00EB" w14:textId="03E21A86" w:rsidR="007A6DCD" w:rsidRPr="0068706B" w:rsidRDefault="007A6DCD" w:rsidP="0068706B">
      <w:pPr>
        <w:spacing w:line="276" w:lineRule="auto"/>
        <w:rPr>
          <w:rFonts w:ascii="Arial" w:hAnsi="Arial" w:cs="Arial"/>
          <w:sz w:val="22"/>
          <w:szCs w:val="22"/>
        </w:rPr>
      </w:pPr>
      <w:r w:rsidRPr="0068706B">
        <w:rPr>
          <w:rFonts w:ascii="Arial" w:hAnsi="Arial" w:cs="Arial"/>
          <w:sz w:val="22"/>
          <w:szCs w:val="22"/>
        </w:rPr>
        <w:t>Statista. (2021, October). 2021 ranking of the global top 10 biotech and pharmaceutical companies based on employee number. https://www.statista.com/statistics/448573/top-global-biotech-and-pharmaceutical-companies-employee-number/</w:t>
      </w:r>
    </w:p>
    <w:sectPr w:rsidR="007A6DCD" w:rsidRPr="006870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DCD"/>
    <w:rsid w:val="0068706B"/>
    <w:rsid w:val="007A6DCD"/>
    <w:rsid w:val="00F01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8C454"/>
  <w15:chartTrackingRefBased/>
  <w15:docId w15:val="{F35ACA0A-6146-1844-9717-650FDF03F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161C"/>
    <w:pPr>
      <w:keepNext/>
      <w:keepLines/>
      <w:spacing w:before="240"/>
      <w:outlineLvl w:val="0"/>
    </w:pPr>
    <w:rPr>
      <w:rFonts w:ascii="Arial" w:eastAsiaTheme="majorEastAsia" w:hAnsi="Arial" w:cstheme="majorBidi"/>
      <w:b/>
      <w:bCs/>
      <w:color w:val="0099C4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161C"/>
    <w:rPr>
      <w:rFonts w:ascii="Arial" w:eastAsiaTheme="majorEastAsia" w:hAnsi="Arial" w:cstheme="majorBidi"/>
      <w:b/>
      <w:bCs/>
      <w:color w:val="0099C4"/>
      <w:sz w:val="48"/>
      <w:szCs w:val="48"/>
    </w:rPr>
  </w:style>
  <w:style w:type="paragraph" w:styleId="Title">
    <w:name w:val="Title"/>
    <w:aliases w:val="Course Title"/>
    <w:basedOn w:val="Normal"/>
    <w:next w:val="Normal"/>
    <w:link w:val="TitleChar"/>
    <w:uiPriority w:val="10"/>
    <w:qFormat/>
    <w:rsid w:val="00F0161C"/>
    <w:pPr>
      <w:contextualSpacing/>
    </w:pPr>
    <w:rPr>
      <w:rFonts w:ascii="Arial" w:eastAsiaTheme="majorEastAsia" w:hAnsi="Arial" w:cstheme="majorBidi"/>
      <w:b/>
      <w:bCs/>
      <w:color w:val="000000" w:themeColor="text1"/>
      <w:spacing w:val="-10"/>
      <w:kern w:val="28"/>
      <w:sz w:val="64"/>
      <w:szCs w:val="64"/>
    </w:rPr>
  </w:style>
  <w:style w:type="character" w:customStyle="1" w:styleId="TitleChar">
    <w:name w:val="Title Char"/>
    <w:aliases w:val="Course Title Char"/>
    <w:basedOn w:val="DefaultParagraphFont"/>
    <w:link w:val="Title"/>
    <w:uiPriority w:val="10"/>
    <w:rsid w:val="00F0161C"/>
    <w:rPr>
      <w:rFonts w:ascii="Arial" w:eastAsiaTheme="majorEastAsia" w:hAnsi="Arial" w:cstheme="majorBidi"/>
      <w:b/>
      <w:bCs/>
      <w:color w:val="000000" w:themeColor="text1"/>
      <w:spacing w:val="-10"/>
      <w:kern w:val="28"/>
      <w:sz w:val="64"/>
      <w:szCs w:val="6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6270DDD60E4A4BA8CA4FACFE2DA9A5" ma:contentTypeVersion="11" ma:contentTypeDescription="Create a new document." ma:contentTypeScope="" ma:versionID="d3404546b4548ae27605c16f2f4afa55">
  <xsd:schema xmlns:xsd="http://www.w3.org/2001/XMLSchema" xmlns:xs="http://www.w3.org/2001/XMLSchema" xmlns:p="http://schemas.microsoft.com/office/2006/metadata/properties" xmlns:ns2="48fc8e1a-ef10-491b-92c5-9fe8dd92a865" xmlns:ns3="dd54fb01-6242-4ec1-9760-e6dc4d026c05" targetNamespace="http://schemas.microsoft.com/office/2006/metadata/properties" ma:root="true" ma:fieldsID="a742a790925718bb0adc90f927762a4c" ns2:_="" ns3:_="">
    <xsd:import namespace="48fc8e1a-ef10-491b-92c5-9fe8dd92a865"/>
    <xsd:import namespace="dd54fb01-6242-4ec1-9760-e6dc4d026c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fc8e1a-ef10-491b-92c5-9fe8dd92a8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4fb01-6242-4ec1-9760-e6dc4d026c0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244C1B-63E0-4E13-8E71-A4768190016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2A77C95-62C9-4EFA-A320-F4F0EBBA17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4DF939-332F-4370-88D5-B8C079F393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fc8e1a-ef10-491b-92c5-9fe8dd92a865"/>
    <ds:schemaRef ds:uri="dd54fb01-6242-4ec1-9760-e6dc4d026c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307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[Student] Simisola Raji</dc:creator>
  <cp:keywords/>
  <dc:description/>
  <cp:lastModifiedBy>Pavan Addepalli</cp:lastModifiedBy>
  <cp:revision>3</cp:revision>
  <dcterms:created xsi:type="dcterms:W3CDTF">2022-09-06T14:11:00Z</dcterms:created>
  <dcterms:modified xsi:type="dcterms:W3CDTF">2022-09-06T15:56:00Z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0x010100F76270DDD60E4A4BA8CA4FACFE2DA9A5</vt:lpwstr>
  </property>
</Properties>
</file>