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6F6" w:rsidRPr="008B46F6" w:rsidRDefault="00BC5AB6" w:rsidP="008B46F6">
      <w:pPr>
        <w:pStyle w:val="Title"/>
      </w:pPr>
      <w:r>
        <w:t>Characterisation of full scale carbon</w:t>
      </w:r>
      <w:r w:rsidR="000567EA">
        <w:t xml:space="preserve"> contactor</w:t>
      </w:r>
      <w:r>
        <w:t>s</w:t>
      </w:r>
      <w:r w:rsidR="000567EA">
        <w:t xml:space="preserve"> </w:t>
      </w:r>
      <w:r w:rsidR="00F07FCD">
        <w:t>for s</w:t>
      </w:r>
      <w:r w:rsidR="003034F1">
        <w:t>iloxane</w:t>
      </w:r>
      <w:r w:rsidR="000567EA">
        <w:t xml:space="preserve"> removal from biogas</w:t>
      </w:r>
      <w:r w:rsidR="008B46F6">
        <w:t xml:space="preserve"> using online FTIR spectroscopy</w:t>
      </w:r>
    </w:p>
    <w:p w:rsidR="003B1947" w:rsidRPr="00C05173" w:rsidRDefault="00BC5AB6" w:rsidP="00A84AA1">
      <w:pPr>
        <w:spacing w:before="0" w:line="240" w:lineRule="auto"/>
        <w:rPr>
          <w:vertAlign w:val="superscript"/>
        </w:rPr>
      </w:pPr>
      <w:r>
        <w:t>C.</w:t>
      </w:r>
      <w:r w:rsidR="003B1947" w:rsidRPr="00C05173">
        <w:t>A. Hepburn</w:t>
      </w:r>
      <w:r w:rsidR="00961C0F" w:rsidRPr="00C05173">
        <w:rPr>
          <w:vertAlign w:val="superscript"/>
        </w:rPr>
        <w:t>1</w:t>
      </w:r>
      <w:r w:rsidR="003B1947" w:rsidRPr="00C05173">
        <w:t xml:space="preserve">, </w:t>
      </w:r>
      <w:r w:rsidR="00C10CDC">
        <w:t>B.D. Martin</w:t>
      </w:r>
      <w:r w:rsidR="00C10CDC">
        <w:rPr>
          <w:vertAlign w:val="superscript"/>
        </w:rPr>
        <w:t>1</w:t>
      </w:r>
      <w:r w:rsidR="00C10CDC">
        <w:t xml:space="preserve">, </w:t>
      </w:r>
      <w:r w:rsidR="003B1947" w:rsidRPr="00C05173">
        <w:t>N. Simms</w:t>
      </w:r>
      <w:r w:rsidR="000567EA" w:rsidRPr="00C05173">
        <w:rPr>
          <w:vertAlign w:val="superscript"/>
        </w:rPr>
        <w:t>2</w:t>
      </w:r>
      <w:r w:rsidR="000567EA" w:rsidRPr="00C05173">
        <w:t>,</w:t>
      </w:r>
      <w:r w:rsidR="000567EA" w:rsidRPr="00C05173">
        <w:rPr>
          <w:vertAlign w:val="superscript"/>
        </w:rPr>
        <w:t xml:space="preserve"> </w:t>
      </w:r>
      <w:r w:rsidR="000567EA" w:rsidRPr="00C05173">
        <w:t>E.J. McAdam</w:t>
      </w:r>
      <w:r w:rsidR="000567EA" w:rsidRPr="00C05173">
        <w:rPr>
          <w:vertAlign w:val="superscript"/>
        </w:rPr>
        <w:t>1,*</w:t>
      </w:r>
    </w:p>
    <w:p w:rsidR="000567EA" w:rsidRPr="00C05173" w:rsidRDefault="00961C0F" w:rsidP="00A84AA1">
      <w:pPr>
        <w:spacing w:before="0" w:line="240" w:lineRule="auto"/>
        <w:rPr>
          <w:sz w:val="20"/>
          <w:szCs w:val="20"/>
        </w:rPr>
      </w:pPr>
      <w:r w:rsidRPr="00C05173">
        <w:rPr>
          <w:sz w:val="20"/>
          <w:szCs w:val="20"/>
          <w:vertAlign w:val="superscript"/>
        </w:rPr>
        <w:t>1</w:t>
      </w:r>
      <w:r w:rsidR="000567EA" w:rsidRPr="00C05173">
        <w:rPr>
          <w:sz w:val="20"/>
          <w:szCs w:val="20"/>
        </w:rPr>
        <w:t>Cranfield Water Sciences Institute, Cranfield University, Bedford MK43 0AL, UK</w:t>
      </w:r>
    </w:p>
    <w:p w:rsidR="000567EA" w:rsidRPr="00C05173" w:rsidRDefault="000567EA" w:rsidP="000567EA">
      <w:pPr>
        <w:spacing w:before="0" w:line="240" w:lineRule="auto"/>
        <w:rPr>
          <w:sz w:val="20"/>
          <w:szCs w:val="20"/>
        </w:rPr>
      </w:pPr>
      <w:r w:rsidRPr="00C05173">
        <w:rPr>
          <w:sz w:val="20"/>
          <w:szCs w:val="20"/>
          <w:vertAlign w:val="superscript"/>
        </w:rPr>
        <w:t>2</w:t>
      </w:r>
      <w:r w:rsidR="006D1861" w:rsidRPr="00C05173">
        <w:rPr>
          <w:sz w:val="20"/>
          <w:szCs w:val="20"/>
        </w:rPr>
        <w:t>Centre for Energy &amp; Resource Technology, Cranﬁeld University, Bedfordshire MK43 0AL, UK</w:t>
      </w:r>
    </w:p>
    <w:p w:rsidR="00515130" w:rsidRPr="00C05173" w:rsidRDefault="000567EA" w:rsidP="000567EA">
      <w:pPr>
        <w:spacing w:before="0" w:line="240" w:lineRule="auto"/>
        <w:rPr>
          <w:sz w:val="20"/>
          <w:szCs w:val="20"/>
        </w:rPr>
      </w:pPr>
      <w:r w:rsidRPr="00C05173">
        <w:rPr>
          <w:sz w:val="20"/>
          <w:szCs w:val="20"/>
        </w:rPr>
        <w:t>*</w:t>
      </w:r>
      <w:r w:rsidR="00515130" w:rsidRPr="00C05173">
        <w:rPr>
          <w:sz w:val="20"/>
          <w:szCs w:val="20"/>
        </w:rPr>
        <w:t>Correspond</w:t>
      </w:r>
      <w:r w:rsidR="009E11C2">
        <w:rPr>
          <w:sz w:val="20"/>
          <w:szCs w:val="20"/>
        </w:rPr>
        <w:t>ing author</w:t>
      </w:r>
      <w:r w:rsidR="00515130" w:rsidRPr="00C05173">
        <w:rPr>
          <w:sz w:val="20"/>
          <w:szCs w:val="20"/>
        </w:rPr>
        <w:t xml:space="preserve">: </w:t>
      </w:r>
      <w:r w:rsidRPr="00C05173">
        <w:rPr>
          <w:sz w:val="20"/>
          <w:szCs w:val="20"/>
        </w:rPr>
        <w:t>E</w:t>
      </w:r>
      <w:r w:rsidR="00BC5AB6">
        <w:rPr>
          <w:sz w:val="20"/>
          <w:szCs w:val="20"/>
        </w:rPr>
        <w:t xml:space="preserve">wan </w:t>
      </w:r>
      <w:r w:rsidRPr="00C05173">
        <w:rPr>
          <w:sz w:val="20"/>
          <w:szCs w:val="20"/>
        </w:rPr>
        <w:t>J. McAdam</w:t>
      </w:r>
      <w:r w:rsidR="00BC5AB6">
        <w:rPr>
          <w:sz w:val="20"/>
          <w:szCs w:val="20"/>
        </w:rPr>
        <w:t>, e</w:t>
      </w:r>
      <w:r w:rsidR="00515130" w:rsidRPr="00C05173">
        <w:rPr>
          <w:sz w:val="20"/>
          <w:szCs w:val="20"/>
        </w:rPr>
        <w:t xml:space="preserve">mail: </w:t>
      </w:r>
      <w:hyperlink r:id="rId9" w:history="1">
        <w:r w:rsidRPr="00C05173">
          <w:rPr>
            <w:rStyle w:val="Hyperlink"/>
            <w:sz w:val="20"/>
            <w:szCs w:val="20"/>
          </w:rPr>
          <w:t>e.mcadam@cranfield.ac.uk</w:t>
        </w:r>
      </w:hyperlink>
    </w:p>
    <w:p w:rsidR="004C5959" w:rsidRDefault="004C5959" w:rsidP="00583744">
      <w:pPr>
        <w:pStyle w:val="Heading1"/>
        <w:numPr>
          <w:ilvl w:val="0"/>
          <w:numId w:val="0"/>
        </w:numPr>
        <w:spacing w:after="0"/>
        <w:jc w:val="both"/>
      </w:pPr>
      <w:bookmarkStart w:id="0" w:name="_Toc345320622"/>
      <w:bookmarkStart w:id="1" w:name="_GoBack"/>
      <w:bookmarkEnd w:id="1"/>
    </w:p>
    <w:p w:rsidR="00E02CE5" w:rsidRPr="004C5959" w:rsidRDefault="00E02CE5" w:rsidP="00583744">
      <w:pPr>
        <w:pStyle w:val="Heading1"/>
        <w:numPr>
          <w:ilvl w:val="0"/>
          <w:numId w:val="0"/>
        </w:numPr>
        <w:spacing w:after="0" w:line="480" w:lineRule="auto"/>
        <w:ind w:left="432" w:hanging="432"/>
        <w:jc w:val="both"/>
      </w:pPr>
      <w:r w:rsidRPr="004C5959">
        <w:t>Abstract</w:t>
      </w:r>
    </w:p>
    <w:p w:rsidR="00A84AA1" w:rsidRDefault="00E45AFD" w:rsidP="00583744">
      <w:pPr>
        <w:spacing w:before="0"/>
        <w:rPr>
          <w:b/>
          <w:i/>
        </w:rPr>
      </w:pPr>
      <w:r>
        <w:t xml:space="preserve">In this study, online FTIR has been used to generate the first comprehensive characterisation of full scale carbon contactors for siloxane removal from biogas. </w:t>
      </w:r>
      <w:r w:rsidR="00CB50D1">
        <w:t>U</w:t>
      </w:r>
      <w:r w:rsidR="006A25CF">
        <w:t>sing FTIR</w:t>
      </w:r>
      <w:r w:rsidR="00CB50D1">
        <w:t>,</w:t>
      </w:r>
      <w:r>
        <w:t xml:space="preserve"> two clear operational regions within the exhaustion cycle</w:t>
      </w:r>
      <w:r w:rsidR="00CB50D1">
        <w:t xml:space="preserve"> were evidenced</w:t>
      </w:r>
      <w:r>
        <w:t>: an initial period of pseudo steady state where the outlet siloxane concentration was consistently below the proposed siloxane limits; and, a second period characterised by a progressive rise in outlet siloxane concentration</w:t>
      </w:r>
      <w:r w:rsidR="00CB50D1">
        <w:t xml:space="preserve"> to breakthrough</w:t>
      </w:r>
      <w:r>
        <w:t>.</w:t>
      </w:r>
      <w:r w:rsidR="006A25CF">
        <w:t xml:space="preserve"> </w:t>
      </w:r>
      <w:r w:rsidR="006A102A">
        <w:t>D</w:t>
      </w:r>
      <w:r w:rsidR="006A25CF">
        <w:t>ue to the sharp</w:t>
      </w:r>
      <w:r w:rsidR="00CB50D1">
        <w:t xml:space="preserve"> breakthrough</w:t>
      </w:r>
      <w:r w:rsidR="006A25CF">
        <w:t xml:space="preserve"> front identified, e</w:t>
      </w:r>
      <w:r>
        <w:t>xisting detection methods which</w:t>
      </w:r>
      <w:r w:rsidR="006A25CF">
        <w:t xml:space="preserve"> comprise field sampling coupled with laboratory based chromatographic determination are insufficiently responsive to define breakthrough thus carbon contactors currently remain in service whilst providing limited protection to the CHP engine. Integration of the exhaustion cycle to breakthrough identified average specific media capacities of </w:t>
      </w:r>
      <w:r w:rsidR="006A102A">
        <w:t xml:space="preserve">8.5 to 21.5 </w:t>
      </w:r>
      <w:proofErr w:type="spellStart"/>
      <w:r w:rsidR="006A102A">
        <w:t>g</w:t>
      </w:r>
      <w:r w:rsidR="006A102A" w:rsidRPr="006A102A">
        <w:rPr>
          <w:vertAlign w:val="subscript"/>
        </w:rPr>
        <w:t>siloxane</w:t>
      </w:r>
      <w:proofErr w:type="spellEnd"/>
      <w:r w:rsidR="006A102A">
        <w:t xml:space="preserve"> kgGAC</w:t>
      </w:r>
      <w:r w:rsidR="006A102A" w:rsidRPr="006A102A">
        <w:rPr>
          <w:vertAlign w:val="superscript"/>
        </w:rPr>
        <w:t>-1</w:t>
      </w:r>
      <w:r w:rsidR="006A25CF">
        <w:t xml:space="preserve"> </w:t>
      </w:r>
      <w:r w:rsidR="006A102A">
        <w:t xml:space="preserve">which are lower than has been reported for vapour phase GAC. Further speciation of the biogas phase identified co-separation of alkanes and aromatics which will inevitably reduce siloxane capacity. However, comparison of five full scale contactors identified that greater media capacity was accessible through operating contactors at velocities sufficient to diminish axial dispersion effects. </w:t>
      </w:r>
      <w:r w:rsidR="00CB50D1">
        <w:t xml:space="preserve">In addition to </w:t>
      </w:r>
      <w:r w:rsidR="00CB50D1">
        <w:lastRenderedPageBreak/>
        <w:t xml:space="preserve">enabling significant insight into gas phase GAC contactors, the use of FTIR for on-line control of GAC for siloxane removal is also presented. </w:t>
      </w:r>
    </w:p>
    <w:p w:rsidR="00A84AA1" w:rsidRDefault="00A84AA1" w:rsidP="00583744">
      <w:pPr>
        <w:spacing w:before="0"/>
        <w:rPr>
          <w:b/>
          <w:i/>
        </w:rPr>
      </w:pPr>
    </w:p>
    <w:p w:rsidR="00A84AA1" w:rsidRDefault="000567EA" w:rsidP="00583744">
      <w:pPr>
        <w:spacing w:before="0"/>
      </w:pPr>
      <w:r w:rsidRPr="00C05173">
        <w:rPr>
          <w:b/>
          <w:i/>
        </w:rPr>
        <w:t>Keywords</w:t>
      </w:r>
      <w:r w:rsidRPr="00C05173">
        <w:t xml:space="preserve">: GAC; anaerobic digestion; </w:t>
      </w:r>
      <w:r w:rsidR="008E344B">
        <w:t xml:space="preserve">landfill; </w:t>
      </w:r>
      <w:r w:rsidRPr="00C05173">
        <w:t>CHP</w:t>
      </w:r>
    </w:p>
    <w:p w:rsidR="00B04B48" w:rsidRPr="00A84AA1" w:rsidRDefault="00B04B48" w:rsidP="00583744">
      <w:pPr>
        <w:spacing w:before="0"/>
      </w:pPr>
    </w:p>
    <w:p w:rsidR="00912ECB" w:rsidRPr="000567EA" w:rsidRDefault="00912ECB" w:rsidP="009E11C2">
      <w:pPr>
        <w:pStyle w:val="Heading1"/>
        <w:numPr>
          <w:ilvl w:val="0"/>
          <w:numId w:val="14"/>
        </w:numPr>
        <w:spacing w:after="0" w:line="480" w:lineRule="auto"/>
        <w:ind w:hanging="720"/>
        <w:jc w:val="both"/>
      </w:pPr>
      <w:r w:rsidRPr="000567EA">
        <w:t>Introduction</w:t>
      </w:r>
      <w:bookmarkEnd w:id="0"/>
    </w:p>
    <w:p w:rsidR="000262AC" w:rsidRPr="00C05173" w:rsidRDefault="00455E52" w:rsidP="00761C89">
      <w:pPr>
        <w:spacing w:before="0"/>
        <w:rPr>
          <w:szCs w:val="20"/>
        </w:rPr>
      </w:pPr>
      <w:r w:rsidRPr="00C05173">
        <w:rPr>
          <w:szCs w:val="20"/>
        </w:rPr>
        <w:t xml:space="preserve">In </w:t>
      </w:r>
      <w:r w:rsidR="009E11C2">
        <w:rPr>
          <w:szCs w:val="20"/>
        </w:rPr>
        <w:t xml:space="preserve">the UK </w:t>
      </w:r>
      <w:r w:rsidR="007A4457" w:rsidRPr="00C05173">
        <w:rPr>
          <w:szCs w:val="20"/>
        </w:rPr>
        <w:t>approximately 1% of</w:t>
      </w:r>
      <w:r w:rsidR="004D15D4" w:rsidRPr="00C05173">
        <w:rPr>
          <w:szCs w:val="20"/>
        </w:rPr>
        <w:t xml:space="preserve"> </w:t>
      </w:r>
      <w:r w:rsidR="009E11C2">
        <w:rPr>
          <w:szCs w:val="20"/>
        </w:rPr>
        <w:t>e</w:t>
      </w:r>
      <w:r w:rsidR="007A4457" w:rsidRPr="00C05173">
        <w:rPr>
          <w:szCs w:val="20"/>
        </w:rPr>
        <w:t xml:space="preserve">lectricity </w:t>
      </w:r>
      <w:r w:rsidR="009E11C2">
        <w:rPr>
          <w:szCs w:val="20"/>
        </w:rPr>
        <w:t xml:space="preserve">produced is used to process municipal wastewater </w:t>
      </w:r>
      <w:r w:rsidR="006123A4" w:rsidRPr="00C05173">
        <w:rPr>
          <w:szCs w:val="20"/>
        </w:rPr>
        <w:fldChar w:fldCharType="begin"/>
      </w:r>
      <w:r w:rsidR="007A4457" w:rsidRPr="00C05173">
        <w:rPr>
          <w:szCs w:val="20"/>
        </w:rPr>
        <w:instrText>ADDIN RW.CITE{{263 Parliamentary Office of Science and Technology 2007}}</w:instrText>
      </w:r>
      <w:r w:rsidR="006123A4" w:rsidRPr="00C05173">
        <w:rPr>
          <w:szCs w:val="20"/>
        </w:rPr>
        <w:fldChar w:fldCharType="separate"/>
      </w:r>
      <w:r w:rsidR="00C14CBE">
        <w:rPr>
          <w:szCs w:val="20"/>
        </w:rPr>
        <w:t>(Parliamentary Office of Science and Technology, 2007)</w:t>
      </w:r>
      <w:r w:rsidR="006123A4" w:rsidRPr="00C05173">
        <w:rPr>
          <w:szCs w:val="20"/>
        </w:rPr>
        <w:fldChar w:fldCharType="end"/>
      </w:r>
      <w:r w:rsidR="007A4457" w:rsidRPr="00C05173">
        <w:rPr>
          <w:szCs w:val="20"/>
        </w:rPr>
        <w:t xml:space="preserve">. </w:t>
      </w:r>
      <w:r w:rsidR="00537C83" w:rsidRPr="00C05173">
        <w:rPr>
          <w:szCs w:val="20"/>
        </w:rPr>
        <w:t xml:space="preserve">Under pressure to reduce </w:t>
      </w:r>
      <w:r w:rsidR="00D93820" w:rsidRPr="00C05173">
        <w:rPr>
          <w:szCs w:val="20"/>
        </w:rPr>
        <w:t>cost</w:t>
      </w:r>
      <w:r w:rsidR="00537C83" w:rsidRPr="00C05173">
        <w:rPr>
          <w:szCs w:val="20"/>
        </w:rPr>
        <w:t>s</w:t>
      </w:r>
      <w:r w:rsidR="00D93820" w:rsidRPr="00C05173">
        <w:rPr>
          <w:szCs w:val="20"/>
        </w:rPr>
        <w:t xml:space="preserve"> to customer</w:t>
      </w:r>
      <w:r w:rsidR="00B11745" w:rsidRPr="00C05173">
        <w:rPr>
          <w:szCs w:val="20"/>
        </w:rPr>
        <w:t>s</w:t>
      </w:r>
      <w:r w:rsidR="00FC174E" w:rsidRPr="00C05173">
        <w:rPr>
          <w:szCs w:val="20"/>
        </w:rPr>
        <w:t xml:space="preserve">, </w:t>
      </w:r>
      <w:r w:rsidR="00D93820" w:rsidRPr="00C05173">
        <w:rPr>
          <w:szCs w:val="20"/>
        </w:rPr>
        <w:t xml:space="preserve">water utilities are </w:t>
      </w:r>
      <w:r w:rsidR="00FC174E" w:rsidRPr="00C05173">
        <w:rPr>
          <w:szCs w:val="20"/>
        </w:rPr>
        <w:t>increasingly focus</w:t>
      </w:r>
      <w:r w:rsidR="00BC5AB6">
        <w:rPr>
          <w:szCs w:val="20"/>
        </w:rPr>
        <w:t xml:space="preserve">ed </w:t>
      </w:r>
      <w:r w:rsidR="00FC174E" w:rsidRPr="00C05173">
        <w:rPr>
          <w:szCs w:val="20"/>
        </w:rPr>
        <w:t>on</w:t>
      </w:r>
      <w:r w:rsidR="00BC5AB6">
        <w:rPr>
          <w:szCs w:val="20"/>
        </w:rPr>
        <w:t xml:space="preserve"> u</w:t>
      </w:r>
      <w:r w:rsidR="00761C89">
        <w:rPr>
          <w:szCs w:val="20"/>
        </w:rPr>
        <w:t>s</w:t>
      </w:r>
      <w:r w:rsidR="00BC5AB6">
        <w:rPr>
          <w:szCs w:val="20"/>
        </w:rPr>
        <w:t xml:space="preserve">ing </w:t>
      </w:r>
      <w:r w:rsidR="00761C89" w:rsidRPr="00C05173">
        <w:rPr>
          <w:szCs w:val="20"/>
        </w:rPr>
        <w:t>combined heat and power (CHP) systems</w:t>
      </w:r>
      <w:r w:rsidR="00761C89">
        <w:rPr>
          <w:szCs w:val="20"/>
        </w:rPr>
        <w:t xml:space="preserve"> to generate </w:t>
      </w:r>
      <w:r w:rsidR="00BC5AB6">
        <w:rPr>
          <w:szCs w:val="20"/>
        </w:rPr>
        <w:t>electric</w:t>
      </w:r>
      <w:r w:rsidR="00761C89">
        <w:rPr>
          <w:szCs w:val="20"/>
        </w:rPr>
        <w:t xml:space="preserve">ity from anaerobic digester biogas </w:t>
      </w:r>
      <w:r w:rsidR="00BC5AB6">
        <w:rPr>
          <w:szCs w:val="20"/>
        </w:rPr>
        <w:t xml:space="preserve">to offset consumption </w:t>
      </w:r>
      <w:r w:rsidR="00761C89">
        <w:rPr>
          <w:szCs w:val="20"/>
        </w:rPr>
        <w:t xml:space="preserve">which currently generates </w:t>
      </w:r>
      <w:r w:rsidR="00BC5AB6">
        <w:rPr>
          <w:szCs w:val="20"/>
        </w:rPr>
        <w:t xml:space="preserve">an estimated 549 </w:t>
      </w:r>
      <w:proofErr w:type="spellStart"/>
      <w:r w:rsidR="00BC5AB6">
        <w:rPr>
          <w:szCs w:val="20"/>
        </w:rPr>
        <w:t>GWh</w:t>
      </w:r>
      <w:r w:rsidR="00BC5AB6" w:rsidRPr="00BC5AB6">
        <w:rPr>
          <w:szCs w:val="20"/>
          <w:vertAlign w:val="subscript"/>
        </w:rPr>
        <w:t>e</w:t>
      </w:r>
      <w:proofErr w:type="spellEnd"/>
      <w:r w:rsidR="00BC5AB6">
        <w:rPr>
          <w:szCs w:val="20"/>
        </w:rPr>
        <w:t xml:space="preserve"> </w:t>
      </w:r>
      <w:r w:rsidR="00761C89">
        <w:rPr>
          <w:szCs w:val="20"/>
        </w:rPr>
        <w:t xml:space="preserve">annually </w:t>
      </w:r>
      <w:r w:rsidR="00BC5AB6">
        <w:rPr>
          <w:szCs w:val="20"/>
        </w:rPr>
        <w:t xml:space="preserve">(Ref). However, </w:t>
      </w:r>
      <w:r w:rsidR="00761C89">
        <w:rPr>
          <w:szCs w:val="20"/>
        </w:rPr>
        <w:t xml:space="preserve">a group of trace compounds collectively known as </w:t>
      </w:r>
      <w:r w:rsidR="00BC5AB6">
        <w:rPr>
          <w:szCs w:val="20"/>
        </w:rPr>
        <w:t>siloxanes</w:t>
      </w:r>
      <w:r w:rsidR="00761C89">
        <w:rPr>
          <w:szCs w:val="20"/>
        </w:rPr>
        <w:t xml:space="preserve"> are detrimental to the e</w:t>
      </w:r>
      <w:r w:rsidR="005D68EA" w:rsidRPr="00C05173">
        <w:rPr>
          <w:szCs w:val="20"/>
        </w:rPr>
        <w:t>conomic utilisation</w:t>
      </w:r>
      <w:r w:rsidR="000262AC" w:rsidRPr="00C05173">
        <w:rPr>
          <w:szCs w:val="20"/>
        </w:rPr>
        <w:t xml:space="preserve"> of biogas</w:t>
      </w:r>
      <w:r w:rsidR="005D68EA" w:rsidRPr="00C05173">
        <w:rPr>
          <w:szCs w:val="20"/>
        </w:rPr>
        <w:t>.</w:t>
      </w:r>
      <w:r w:rsidR="00761C89">
        <w:rPr>
          <w:szCs w:val="20"/>
        </w:rPr>
        <w:t xml:space="preserve"> </w:t>
      </w:r>
      <w:proofErr w:type="spellStart"/>
      <w:r w:rsidR="00761C89">
        <w:rPr>
          <w:szCs w:val="20"/>
        </w:rPr>
        <w:t>D</w:t>
      </w:r>
      <w:r w:rsidR="000262AC" w:rsidRPr="00C05173">
        <w:rPr>
          <w:szCs w:val="20"/>
        </w:rPr>
        <w:t>ecamethylcyclopentasiloxane</w:t>
      </w:r>
      <w:proofErr w:type="spellEnd"/>
      <w:r w:rsidR="000262AC" w:rsidRPr="00C05173">
        <w:rPr>
          <w:szCs w:val="20"/>
        </w:rPr>
        <w:t xml:space="preserve"> (</w:t>
      </w:r>
      <w:r w:rsidR="000262AC" w:rsidRPr="00A84AA1">
        <w:rPr>
          <w:szCs w:val="20"/>
        </w:rPr>
        <w:t>D5</w:t>
      </w:r>
      <w:r w:rsidR="000262AC" w:rsidRPr="00C05173">
        <w:rPr>
          <w:szCs w:val="20"/>
        </w:rPr>
        <w:t xml:space="preserve">) </w:t>
      </w:r>
      <w:r w:rsidR="00761C89">
        <w:rPr>
          <w:szCs w:val="20"/>
        </w:rPr>
        <w:t xml:space="preserve">is generally regarded as the most prevalent </w:t>
      </w:r>
      <w:r w:rsidR="000262AC" w:rsidRPr="00C05173">
        <w:rPr>
          <w:szCs w:val="20"/>
        </w:rPr>
        <w:t>cyclic siloxane</w:t>
      </w:r>
      <w:r w:rsidR="00761C89">
        <w:rPr>
          <w:szCs w:val="20"/>
        </w:rPr>
        <w:t xml:space="preserve"> </w:t>
      </w:r>
      <w:r w:rsidR="00545169" w:rsidRPr="00C05173">
        <w:rPr>
          <w:szCs w:val="20"/>
        </w:rPr>
        <w:t>within</w:t>
      </w:r>
      <w:r w:rsidR="00761C89">
        <w:rPr>
          <w:szCs w:val="20"/>
        </w:rPr>
        <w:t xml:space="preserve"> biogas produced from anaerobic digestion</w:t>
      </w:r>
      <w:r w:rsidR="00545169" w:rsidRPr="00C05173">
        <w:rPr>
          <w:szCs w:val="20"/>
        </w:rPr>
        <w:t xml:space="preserve"> </w:t>
      </w:r>
      <w:r w:rsidR="00761C89">
        <w:rPr>
          <w:szCs w:val="20"/>
        </w:rPr>
        <w:t xml:space="preserve">and when passed into the </w:t>
      </w:r>
      <w:r w:rsidR="000262AC" w:rsidRPr="00C05173">
        <w:rPr>
          <w:szCs w:val="20"/>
        </w:rPr>
        <w:t>CHP engine</w:t>
      </w:r>
      <w:r w:rsidR="00761C89">
        <w:rPr>
          <w:szCs w:val="20"/>
        </w:rPr>
        <w:t xml:space="preserve"> it undergoes </w:t>
      </w:r>
      <w:r w:rsidR="00FC174E" w:rsidRPr="00C05173">
        <w:rPr>
          <w:szCs w:val="20"/>
        </w:rPr>
        <w:t>oxid</w:t>
      </w:r>
      <w:r w:rsidR="00761C89">
        <w:rPr>
          <w:szCs w:val="20"/>
        </w:rPr>
        <w:t xml:space="preserve">ation </w:t>
      </w:r>
      <w:r w:rsidR="00FC174E" w:rsidRPr="00C05173">
        <w:rPr>
          <w:szCs w:val="20"/>
        </w:rPr>
        <w:t xml:space="preserve">during </w:t>
      </w:r>
      <w:r w:rsidR="005D68EA" w:rsidRPr="00C05173">
        <w:rPr>
          <w:szCs w:val="20"/>
        </w:rPr>
        <w:t>combust</w:t>
      </w:r>
      <w:r w:rsidR="00FC174E" w:rsidRPr="00C05173">
        <w:rPr>
          <w:szCs w:val="20"/>
        </w:rPr>
        <w:t>ion</w:t>
      </w:r>
      <w:r w:rsidR="00761C89">
        <w:rPr>
          <w:szCs w:val="20"/>
        </w:rPr>
        <w:t xml:space="preserve"> to form </w:t>
      </w:r>
      <w:r w:rsidR="00FC174E" w:rsidRPr="00C05173">
        <w:rPr>
          <w:szCs w:val="20"/>
        </w:rPr>
        <w:t>silicon dioxide</w:t>
      </w:r>
      <w:r w:rsidR="000262AC" w:rsidRPr="00C05173">
        <w:rPr>
          <w:szCs w:val="20"/>
        </w:rPr>
        <w:t>:</w:t>
      </w:r>
      <w:r w:rsidR="00FC174E" w:rsidRPr="00C05173">
        <w:rPr>
          <w:szCs w:val="20"/>
        </w:rPr>
        <w:t xml:space="preserve"> </w:t>
      </w:r>
    </w:p>
    <w:p w:rsidR="000262AC" w:rsidRPr="00C05173" w:rsidRDefault="000262AC" w:rsidP="000262AC">
      <w:pPr>
        <w:spacing w:before="0"/>
        <w:rPr>
          <w:szCs w:val="20"/>
        </w:rPr>
      </w:pPr>
      <w:r w:rsidRPr="00C05173">
        <w:rPr>
          <w:position w:val="-12"/>
          <w:szCs w:val="20"/>
        </w:rPr>
        <w:object w:dxaOrig="47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18.75pt" o:ole="">
            <v:imagedata r:id="rId10" o:title=""/>
          </v:shape>
          <o:OLEObject Type="Embed" ProgID="Equation.3" ShapeID="_x0000_i1025" DrawAspect="Content" ObjectID="_1526908231" r:id="rId11"/>
        </w:object>
      </w:r>
      <w:r w:rsidRPr="00C05173">
        <w:rPr>
          <w:szCs w:val="20"/>
        </w:rPr>
        <w:tab/>
      </w:r>
      <w:r w:rsidRPr="00C05173">
        <w:rPr>
          <w:szCs w:val="20"/>
        </w:rPr>
        <w:tab/>
      </w:r>
      <w:r w:rsidRPr="00C05173">
        <w:rPr>
          <w:szCs w:val="20"/>
        </w:rPr>
        <w:tab/>
      </w:r>
      <w:r w:rsidRPr="00C05173">
        <w:rPr>
          <w:szCs w:val="20"/>
        </w:rPr>
        <w:tab/>
      </w:r>
      <w:r w:rsidRPr="00C05173">
        <w:rPr>
          <w:szCs w:val="20"/>
        </w:rPr>
        <w:tab/>
      </w:r>
      <w:r w:rsidR="001A6C15">
        <w:rPr>
          <w:szCs w:val="20"/>
        </w:rPr>
        <w:tab/>
      </w:r>
      <w:r w:rsidRPr="00C05173">
        <w:rPr>
          <w:szCs w:val="20"/>
        </w:rPr>
        <w:t>(1)</w:t>
      </w:r>
    </w:p>
    <w:p w:rsidR="005D68EA" w:rsidRPr="0033369B" w:rsidRDefault="00186A8C" w:rsidP="0033369B">
      <w:pPr>
        <w:spacing w:before="0"/>
      </w:pPr>
      <w:r>
        <w:rPr>
          <w:szCs w:val="20"/>
        </w:rPr>
        <w:t>Some of this</w:t>
      </w:r>
      <w:r w:rsidR="000262AC" w:rsidRPr="00C05173">
        <w:rPr>
          <w:szCs w:val="20"/>
        </w:rPr>
        <w:t xml:space="preserve"> SiO</w:t>
      </w:r>
      <w:r w:rsidR="000262AC" w:rsidRPr="00C05173">
        <w:rPr>
          <w:szCs w:val="20"/>
          <w:vertAlign w:val="subscript"/>
        </w:rPr>
        <w:t>2</w:t>
      </w:r>
      <w:r w:rsidR="000262AC" w:rsidRPr="00C05173">
        <w:rPr>
          <w:szCs w:val="20"/>
        </w:rPr>
        <w:t xml:space="preserve"> </w:t>
      </w:r>
      <w:r w:rsidR="00761C89">
        <w:rPr>
          <w:szCs w:val="20"/>
        </w:rPr>
        <w:t xml:space="preserve">formed </w:t>
      </w:r>
      <w:r w:rsidR="0032756D">
        <w:rPr>
          <w:szCs w:val="20"/>
        </w:rPr>
        <w:t xml:space="preserve">is </w:t>
      </w:r>
      <w:r w:rsidR="00D31BE1" w:rsidRPr="00C05173">
        <w:rPr>
          <w:szCs w:val="20"/>
        </w:rPr>
        <w:t>deposit</w:t>
      </w:r>
      <w:r w:rsidR="0032756D">
        <w:rPr>
          <w:szCs w:val="20"/>
        </w:rPr>
        <w:t>ed</w:t>
      </w:r>
      <w:r w:rsidR="000262AC" w:rsidRPr="00C05173">
        <w:rPr>
          <w:szCs w:val="20"/>
        </w:rPr>
        <w:t xml:space="preserve"> within the engine </w:t>
      </w:r>
      <w:r w:rsidR="00761C89">
        <w:rPr>
          <w:szCs w:val="20"/>
        </w:rPr>
        <w:t xml:space="preserve">which </w:t>
      </w:r>
      <w:r w:rsidR="00757C7D" w:rsidRPr="00C05173">
        <w:rPr>
          <w:szCs w:val="20"/>
        </w:rPr>
        <w:t>caus</w:t>
      </w:r>
      <w:r w:rsidR="007B56DC" w:rsidRPr="00C05173">
        <w:rPr>
          <w:szCs w:val="20"/>
        </w:rPr>
        <w:t>e</w:t>
      </w:r>
      <w:r w:rsidR="00761C89">
        <w:rPr>
          <w:szCs w:val="20"/>
        </w:rPr>
        <w:t>s</w:t>
      </w:r>
      <w:r w:rsidR="00757C7D" w:rsidRPr="00C05173">
        <w:rPr>
          <w:szCs w:val="20"/>
        </w:rPr>
        <w:t xml:space="preserve"> abrasion to </w:t>
      </w:r>
      <w:r w:rsidR="00A53CA6" w:rsidRPr="00C05173">
        <w:rPr>
          <w:szCs w:val="20"/>
        </w:rPr>
        <w:t xml:space="preserve">the engine </w:t>
      </w:r>
      <w:r w:rsidR="006123A4" w:rsidRPr="00C05173">
        <w:rPr>
          <w:szCs w:val="20"/>
        </w:rPr>
        <w:fldChar w:fldCharType="begin"/>
      </w:r>
      <w:r w:rsidR="00A53CA6" w:rsidRPr="00C05173">
        <w:rPr>
          <w:szCs w:val="20"/>
        </w:rPr>
        <w:instrText>ADDIN RW.CITE{{10 Schweigkofler,M. 2001}}</w:instrText>
      </w:r>
      <w:r w:rsidR="006123A4" w:rsidRPr="00C05173">
        <w:rPr>
          <w:szCs w:val="20"/>
        </w:rPr>
        <w:fldChar w:fldCharType="separate"/>
      </w:r>
      <w:r w:rsidR="00C14CBE">
        <w:rPr>
          <w:szCs w:val="20"/>
        </w:rPr>
        <w:t>(Schweigkofler and Niessner, 2001)</w:t>
      </w:r>
      <w:r w:rsidR="006123A4" w:rsidRPr="00C05173">
        <w:rPr>
          <w:szCs w:val="20"/>
        </w:rPr>
        <w:fldChar w:fldCharType="end"/>
      </w:r>
      <w:proofErr w:type="gramStart"/>
      <w:r w:rsidR="00A53CA6" w:rsidRPr="00C05173">
        <w:rPr>
          <w:szCs w:val="20"/>
        </w:rPr>
        <w:t>,</w:t>
      </w:r>
      <w:proofErr w:type="gramEnd"/>
      <w:r w:rsidR="00A53CA6" w:rsidRPr="00C05173">
        <w:rPr>
          <w:szCs w:val="20"/>
        </w:rPr>
        <w:t xml:space="preserve"> </w:t>
      </w:r>
      <w:r w:rsidR="00757C7D" w:rsidRPr="00C05173">
        <w:rPr>
          <w:szCs w:val="20"/>
        </w:rPr>
        <w:t xml:space="preserve">valve </w:t>
      </w:r>
      <w:r w:rsidR="00A53CA6" w:rsidRPr="00C05173">
        <w:rPr>
          <w:szCs w:val="20"/>
        </w:rPr>
        <w:t>clog</w:t>
      </w:r>
      <w:r w:rsidR="00757C7D" w:rsidRPr="00C05173">
        <w:rPr>
          <w:szCs w:val="20"/>
        </w:rPr>
        <w:t xml:space="preserve">ging </w:t>
      </w:r>
      <w:r w:rsidR="006123A4" w:rsidRPr="00C05173">
        <w:rPr>
          <w:szCs w:val="20"/>
        </w:rPr>
        <w:fldChar w:fldCharType="begin"/>
      </w:r>
      <w:r w:rsidR="00A53CA6" w:rsidRPr="00C05173">
        <w:rPr>
          <w:szCs w:val="20"/>
        </w:rPr>
        <w:instrText>ADDIN RW.CITE{{17 Accettola,F. 2008}}</w:instrText>
      </w:r>
      <w:r w:rsidR="006123A4" w:rsidRPr="00C05173">
        <w:rPr>
          <w:szCs w:val="20"/>
        </w:rPr>
        <w:fldChar w:fldCharType="separate"/>
      </w:r>
      <w:r w:rsidR="00C14CBE">
        <w:rPr>
          <w:szCs w:val="20"/>
        </w:rPr>
        <w:t>(Accettola et al., 2008)</w:t>
      </w:r>
      <w:r w:rsidR="006123A4" w:rsidRPr="00C05173">
        <w:rPr>
          <w:szCs w:val="20"/>
        </w:rPr>
        <w:fldChar w:fldCharType="end"/>
      </w:r>
      <w:r w:rsidR="00A53CA6" w:rsidRPr="00C05173">
        <w:rPr>
          <w:szCs w:val="20"/>
        </w:rPr>
        <w:t xml:space="preserve"> and</w:t>
      </w:r>
      <w:r w:rsidR="000262AC" w:rsidRPr="00C05173">
        <w:rPr>
          <w:szCs w:val="20"/>
        </w:rPr>
        <w:t xml:space="preserve"> a reduction in</w:t>
      </w:r>
      <w:r w:rsidR="00757C7D" w:rsidRPr="00C05173">
        <w:rPr>
          <w:szCs w:val="20"/>
        </w:rPr>
        <w:t xml:space="preserve"> </w:t>
      </w:r>
      <w:r w:rsidR="0032756D">
        <w:rPr>
          <w:szCs w:val="20"/>
        </w:rPr>
        <w:t>conversion</w:t>
      </w:r>
      <w:r w:rsidR="00A53CA6" w:rsidRPr="00C05173">
        <w:rPr>
          <w:szCs w:val="20"/>
        </w:rPr>
        <w:t xml:space="preserve"> efficiency </w:t>
      </w:r>
      <w:r w:rsidR="006123A4" w:rsidRPr="00C05173">
        <w:rPr>
          <w:szCs w:val="20"/>
        </w:rPr>
        <w:fldChar w:fldCharType="begin"/>
      </w:r>
      <w:r w:rsidR="00A53CA6" w:rsidRPr="00C05173">
        <w:rPr>
          <w:szCs w:val="20"/>
        </w:rPr>
        <w:instrText>ADDIN RW.CITE{{18 Ohannessian,A. 2008}}</w:instrText>
      </w:r>
      <w:r w:rsidR="006123A4" w:rsidRPr="00C05173">
        <w:rPr>
          <w:szCs w:val="20"/>
        </w:rPr>
        <w:fldChar w:fldCharType="separate"/>
      </w:r>
      <w:r w:rsidR="00C14CBE">
        <w:rPr>
          <w:szCs w:val="20"/>
        </w:rPr>
        <w:t>(Ohannessian et al., 2008)</w:t>
      </w:r>
      <w:r w:rsidR="006123A4" w:rsidRPr="00C05173">
        <w:rPr>
          <w:szCs w:val="20"/>
        </w:rPr>
        <w:fldChar w:fldCharType="end"/>
      </w:r>
      <w:r w:rsidR="000262AC" w:rsidRPr="00C05173">
        <w:rPr>
          <w:szCs w:val="20"/>
        </w:rPr>
        <w:t xml:space="preserve">. </w:t>
      </w:r>
      <w:r w:rsidR="0032756D">
        <w:rPr>
          <w:szCs w:val="20"/>
        </w:rPr>
        <w:t xml:space="preserve">The </w:t>
      </w:r>
      <w:r w:rsidR="0032756D">
        <w:rPr>
          <w:rFonts w:cs="FranklinGothic-Book"/>
        </w:rPr>
        <w:t xml:space="preserve">estimated cost to industry is around 1.5p </w:t>
      </w:r>
      <w:r w:rsidR="0032756D" w:rsidRPr="00CA458A">
        <w:rPr>
          <w:rFonts w:cstheme="minorHAnsi"/>
        </w:rPr>
        <w:t>kWh</w:t>
      </w:r>
      <w:r w:rsidR="0032756D" w:rsidRPr="00CA458A">
        <w:rPr>
          <w:rFonts w:cstheme="minorHAnsi"/>
          <w:vertAlign w:val="superscript"/>
        </w:rPr>
        <w:t>-1</w:t>
      </w:r>
      <w:r w:rsidR="0032756D">
        <w:rPr>
          <w:rFonts w:cstheme="minorHAnsi"/>
        </w:rPr>
        <w:t xml:space="preserve"> of electricity produced</w:t>
      </w:r>
      <w:r w:rsidR="0032756D" w:rsidRPr="00CA458A">
        <w:rPr>
          <w:rFonts w:cstheme="minorHAnsi"/>
        </w:rPr>
        <w:t xml:space="preserve"> </w:t>
      </w:r>
      <w:r w:rsidR="0032756D">
        <w:rPr>
          <w:rFonts w:cstheme="minorHAnsi"/>
        </w:rPr>
        <w:t>or</w:t>
      </w:r>
      <w:r w:rsidR="0032756D" w:rsidRPr="00CA458A">
        <w:rPr>
          <w:rFonts w:cstheme="minorHAnsi"/>
        </w:rPr>
        <w:t xml:space="preserve"> 16% of </w:t>
      </w:r>
      <w:r w:rsidR="0032756D">
        <w:rPr>
          <w:rFonts w:cstheme="minorHAnsi"/>
        </w:rPr>
        <w:t>product value (</w:t>
      </w:r>
      <w:proofErr w:type="spellStart"/>
      <w:r>
        <w:rPr>
          <w:rFonts w:cstheme="minorHAnsi"/>
        </w:rPr>
        <w:t>Lemar</w:t>
      </w:r>
      <w:proofErr w:type="spellEnd"/>
      <w:r>
        <w:rPr>
          <w:rFonts w:cstheme="minorHAnsi"/>
        </w:rPr>
        <w:t>, 2005</w:t>
      </w:r>
      <w:r w:rsidR="0032756D">
        <w:rPr>
          <w:rFonts w:cstheme="minorHAnsi"/>
        </w:rPr>
        <w:t xml:space="preserve">). </w:t>
      </w:r>
      <w:r w:rsidR="007B56DC" w:rsidRPr="00C05173">
        <w:rPr>
          <w:szCs w:val="20"/>
        </w:rPr>
        <w:t>Consequently several CHP</w:t>
      </w:r>
      <w:r w:rsidR="007E2135" w:rsidRPr="00C05173">
        <w:rPr>
          <w:szCs w:val="20"/>
        </w:rPr>
        <w:t xml:space="preserve"> engine manufacture</w:t>
      </w:r>
      <w:r w:rsidR="00757C7D" w:rsidRPr="00C05173">
        <w:rPr>
          <w:szCs w:val="20"/>
        </w:rPr>
        <w:t>r</w:t>
      </w:r>
      <w:r w:rsidR="007E2135" w:rsidRPr="00C05173">
        <w:rPr>
          <w:szCs w:val="20"/>
        </w:rPr>
        <w:t xml:space="preserve">s </w:t>
      </w:r>
      <w:r w:rsidR="007B56DC" w:rsidRPr="00C05173">
        <w:rPr>
          <w:szCs w:val="20"/>
        </w:rPr>
        <w:t xml:space="preserve">have proposed </w:t>
      </w:r>
      <w:r w:rsidR="0032756D">
        <w:rPr>
          <w:szCs w:val="20"/>
        </w:rPr>
        <w:t xml:space="preserve">limiting </w:t>
      </w:r>
      <w:r w:rsidR="007E2135" w:rsidRPr="00C05173">
        <w:rPr>
          <w:szCs w:val="20"/>
        </w:rPr>
        <w:lastRenderedPageBreak/>
        <w:t>siloxane concentration</w:t>
      </w:r>
      <w:r w:rsidR="0032756D">
        <w:rPr>
          <w:szCs w:val="20"/>
        </w:rPr>
        <w:t xml:space="preserve">s of between 12 and 30 </w:t>
      </w:r>
      <w:proofErr w:type="spellStart"/>
      <w:r w:rsidR="0032756D">
        <w:rPr>
          <w:szCs w:val="20"/>
        </w:rPr>
        <w:t>mg</w:t>
      </w:r>
      <w:r w:rsidR="0032756D" w:rsidRPr="0032756D">
        <w:rPr>
          <w:szCs w:val="20"/>
          <w:vertAlign w:val="subscript"/>
        </w:rPr>
        <w:t>siloxane</w:t>
      </w:r>
      <w:proofErr w:type="spellEnd"/>
      <w:r w:rsidR="0032756D">
        <w:rPr>
          <w:szCs w:val="20"/>
        </w:rPr>
        <w:t xml:space="preserve"> m</w:t>
      </w:r>
      <w:r w:rsidR="0032756D" w:rsidRPr="0032756D">
        <w:rPr>
          <w:szCs w:val="20"/>
          <w:vertAlign w:val="superscript"/>
        </w:rPr>
        <w:t>-3</w:t>
      </w:r>
      <w:r w:rsidR="0032756D">
        <w:rPr>
          <w:szCs w:val="20"/>
        </w:rPr>
        <w:t xml:space="preserve"> </w:t>
      </w:r>
      <w:r w:rsidR="007B56DC" w:rsidRPr="00C05173">
        <w:rPr>
          <w:szCs w:val="20"/>
        </w:rPr>
        <w:t>within t</w:t>
      </w:r>
      <w:r w:rsidR="007E2135" w:rsidRPr="00C05173">
        <w:rPr>
          <w:szCs w:val="20"/>
        </w:rPr>
        <w:t xml:space="preserve">he </w:t>
      </w:r>
      <w:r w:rsidR="0032756D">
        <w:rPr>
          <w:szCs w:val="20"/>
        </w:rPr>
        <w:t xml:space="preserve">engine </w:t>
      </w:r>
      <w:r w:rsidR="007E2135" w:rsidRPr="00C05173">
        <w:rPr>
          <w:szCs w:val="20"/>
        </w:rPr>
        <w:t xml:space="preserve">warranty </w:t>
      </w:r>
      <w:r w:rsidR="007E2135" w:rsidRPr="0033369B">
        <w:t>specification</w:t>
      </w:r>
      <w:r>
        <w:t xml:space="preserve"> which therefore requires application of abatement technology</w:t>
      </w:r>
      <w:r w:rsidR="007E2135" w:rsidRPr="0033369B">
        <w:t xml:space="preserve"> </w:t>
      </w:r>
      <w:r w:rsidR="00A84AA1">
        <w:t xml:space="preserve">to clean the biogas </w:t>
      </w:r>
      <w:r w:rsidR="00A84AA1" w:rsidRPr="0033369B">
        <w:t xml:space="preserve">before injection into the CHP engine </w:t>
      </w:r>
      <w:r w:rsidR="007E2135" w:rsidRPr="0033369B">
        <w:t>(</w:t>
      </w:r>
      <w:r w:rsidR="007B56DC" w:rsidRPr="0033369B">
        <w:t>Table 1</w:t>
      </w:r>
      <w:r w:rsidR="007E2135" w:rsidRPr="0033369B">
        <w:t>).</w:t>
      </w:r>
      <w:r w:rsidR="00A53CA6" w:rsidRPr="0033369B">
        <w:t xml:space="preserve"> </w:t>
      </w:r>
    </w:p>
    <w:p w:rsidR="00225DE6" w:rsidRPr="00C05173" w:rsidRDefault="0033369B" w:rsidP="00225DE6">
      <w:pPr>
        <w:spacing w:before="0"/>
        <w:ind w:firstLine="720"/>
        <w:rPr>
          <w:szCs w:val="20"/>
        </w:rPr>
      </w:pPr>
      <w:r w:rsidRPr="0033369B">
        <w:rPr>
          <w:rFonts w:eastAsia="AdvGulliv-R" w:cs="AdvGulliv-R"/>
        </w:rPr>
        <w:t>S</w:t>
      </w:r>
      <w:proofErr w:type="spellStart"/>
      <w:r w:rsidRPr="0033369B">
        <w:rPr>
          <w:rFonts w:eastAsia="AdvGulliv-R" w:cs="AdvGulliv-R"/>
          <w:lang w:val="x-none"/>
        </w:rPr>
        <w:t>iloxane</w:t>
      </w:r>
      <w:proofErr w:type="spellEnd"/>
      <w:r w:rsidRPr="0033369B">
        <w:rPr>
          <w:rFonts w:eastAsia="AdvGulliv-R" w:cs="AdvGulliv-R"/>
          <w:lang w:val="x-none"/>
        </w:rPr>
        <w:t xml:space="preserve"> removal from </w:t>
      </w:r>
      <w:r w:rsidRPr="0033369B">
        <w:rPr>
          <w:rFonts w:eastAsia="AdvGulliv-R" w:cs="AdvGulliv-R"/>
        </w:rPr>
        <w:t xml:space="preserve">biogas </w:t>
      </w:r>
      <w:r w:rsidRPr="0033369B">
        <w:t xml:space="preserve">is </w:t>
      </w:r>
      <w:r w:rsidR="00186A8C">
        <w:t xml:space="preserve">primarily </w:t>
      </w:r>
      <w:r w:rsidRPr="0033369B">
        <w:t xml:space="preserve">undertaken by </w:t>
      </w:r>
      <w:r w:rsidRPr="0033369B">
        <w:rPr>
          <w:rFonts w:eastAsia="AdvGulliv-R" w:cs="AdvGulliv-R"/>
          <w:lang w:val="x-none"/>
        </w:rPr>
        <w:t xml:space="preserve">adsorption </w:t>
      </w:r>
      <w:r w:rsidRPr="0033369B">
        <w:rPr>
          <w:rFonts w:eastAsia="AdvGulliv-R" w:cs="AdvGulliv-R"/>
        </w:rPr>
        <w:t xml:space="preserve">which </w:t>
      </w:r>
      <w:r w:rsidRPr="0033369B">
        <w:rPr>
          <w:rFonts w:eastAsia="AdvGulliv-R" w:cs="AdvGulliv-R"/>
          <w:lang w:val="x-none"/>
        </w:rPr>
        <w:t xml:space="preserve">is </w:t>
      </w:r>
      <w:r w:rsidRPr="0033369B">
        <w:rPr>
          <w:rFonts w:eastAsia="AdvGulliv-R" w:cs="AdvGulliv-R"/>
        </w:rPr>
        <w:t xml:space="preserve">presently </w:t>
      </w:r>
      <w:r w:rsidRPr="0033369B">
        <w:rPr>
          <w:rFonts w:eastAsia="AdvGulliv-R" w:cs="AdvGulliv-R"/>
          <w:lang w:val="x-none"/>
        </w:rPr>
        <w:t xml:space="preserve">regarded as </w:t>
      </w:r>
      <w:r w:rsidRPr="0033369B">
        <w:rPr>
          <w:rFonts w:eastAsia="AdvGulliv-R" w:cs="AdvGulliv-R"/>
        </w:rPr>
        <w:t xml:space="preserve">the most </w:t>
      </w:r>
      <w:r w:rsidRPr="0033369B">
        <w:rPr>
          <w:rFonts w:eastAsia="AdvGulliv-R" w:cs="AdvGulliv-R"/>
          <w:lang w:val="x-none"/>
        </w:rPr>
        <w:t>viable</w:t>
      </w:r>
      <w:r w:rsidRPr="0033369B">
        <w:rPr>
          <w:rFonts w:eastAsia="AdvGulliv-R" w:cs="AdvGulliv-R"/>
        </w:rPr>
        <w:t xml:space="preserve"> </w:t>
      </w:r>
      <w:r w:rsidRPr="0033369B">
        <w:rPr>
          <w:rFonts w:eastAsia="AdvGulliv-R" w:cs="AdvGulliv-R"/>
          <w:lang w:val="x-none"/>
        </w:rPr>
        <w:t>solution (</w:t>
      </w:r>
      <w:proofErr w:type="spellStart"/>
      <w:r w:rsidRPr="0033369B">
        <w:rPr>
          <w:rFonts w:eastAsia="AdvGulliv-R" w:cs="AdvGulliv-R"/>
          <w:lang w:val="x-none"/>
        </w:rPr>
        <w:t>Doczyck</w:t>
      </w:r>
      <w:proofErr w:type="spellEnd"/>
      <w:r w:rsidRPr="0033369B">
        <w:rPr>
          <w:rFonts w:eastAsia="AdvGulliv-R" w:cs="AdvGulliv-R"/>
          <w:lang w:val="x-none"/>
        </w:rPr>
        <w:t>, 2003</w:t>
      </w:r>
      <w:r>
        <w:rPr>
          <w:rFonts w:eastAsia="AdvGulliv-R" w:cs="AdvGulliv-R"/>
        </w:rPr>
        <w:t xml:space="preserve"> after </w:t>
      </w:r>
      <w:proofErr w:type="spellStart"/>
      <w:r>
        <w:rPr>
          <w:rFonts w:eastAsia="AdvGulliv-R" w:cs="AdvGulliv-R"/>
        </w:rPr>
        <w:t>Ahjar</w:t>
      </w:r>
      <w:proofErr w:type="spellEnd"/>
      <w:r>
        <w:rPr>
          <w:rFonts w:eastAsia="AdvGulliv-R" w:cs="AdvGulliv-R"/>
        </w:rPr>
        <w:t xml:space="preserve"> review</w:t>
      </w:r>
      <w:r w:rsidRPr="0033369B">
        <w:rPr>
          <w:rFonts w:eastAsia="AdvGulliv-R" w:cs="AdvGulliv-R"/>
          <w:lang w:val="x-none"/>
        </w:rPr>
        <w:t>).</w:t>
      </w:r>
      <w:r>
        <w:rPr>
          <w:rFonts w:eastAsia="AdvGulliv-R" w:cs="AdvGulliv-R"/>
        </w:rPr>
        <w:t xml:space="preserve"> G</w:t>
      </w:r>
      <w:r w:rsidRPr="00C05173">
        <w:rPr>
          <w:szCs w:val="20"/>
        </w:rPr>
        <w:t xml:space="preserve">ranular activated carbon (GAC) is generally </w:t>
      </w:r>
      <w:r>
        <w:rPr>
          <w:szCs w:val="20"/>
        </w:rPr>
        <w:t xml:space="preserve">favoured for siloxane removal </w:t>
      </w:r>
      <w:r w:rsidRPr="00C05173">
        <w:rPr>
          <w:szCs w:val="20"/>
        </w:rPr>
        <w:fldChar w:fldCharType="begin"/>
      </w:r>
      <w:r w:rsidRPr="00C05173">
        <w:rPr>
          <w:szCs w:val="20"/>
        </w:rPr>
        <w:instrText>ADDIN RW.CITE{{6 Ajhar,M. 2010}}</w:instrText>
      </w:r>
      <w:r w:rsidRPr="00C05173">
        <w:rPr>
          <w:szCs w:val="20"/>
        </w:rPr>
        <w:fldChar w:fldCharType="separate"/>
      </w:r>
      <w:r>
        <w:rPr>
          <w:szCs w:val="20"/>
        </w:rPr>
        <w:t>(Ajhar et al., 2010a)</w:t>
      </w:r>
      <w:r w:rsidRPr="00C05173">
        <w:rPr>
          <w:szCs w:val="20"/>
        </w:rPr>
        <w:fldChar w:fldCharType="end"/>
      </w:r>
      <w:r w:rsidRPr="00C05173">
        <w:rPr>
          <w:szCs w:val="20"/>
        </w:rPr>
        <w:t>.</w:t>
      </w:r>
      <w:r>
        <w:rPr>
          <w:szCs w:val="20"/>
        </w:rPr>
        <w:t xml:space="preserve"> However, the media is non-regenerable</w:t>
      </w:r>
      <w:r w:rsidR="00A84AA1">
        <w:rPr>
          <w:szCs w:val="20"/>
        </w:rPr>
        <w:t xml:space="preserve"> for this application</w:t>
      </w:r>
      <w:r>
        <w:rPr>
          <w:szCs w:val="20"/>
        </w:rPr>
        <w:t xml:space="preserve"> and so requires periodic media exchanges at a cost of around €2000 per change per</w:t>
      </w:r>
      <w:r w:rsidR="007F349C">
        <w:rPr>
          <w:szCs w:val="20"/>
        </w:rPr>
        <w:t xml:space="preserve"> contactor and on some biogas sites, media exchange frequencies of one per week have been reported (</w:t>
      </w:r>
      <w:proofErr w:type="spellStart"/>
      <w:r w:rsidR="007F349C">
        <w:rPr>
          <w:rFonts w:cs="Times-Roman"/>
          <w:color w:val="000000"/>
        </w:rPr>
        <w:t>Dewil</w:t>
      </w:r>
      <w:proofErr w:type="spellEnd"/>
      <w:r w:rsidR="007F349C">
        <w:rPr>
          <w:rFonts w:cs="Times-Roman"/>
          <w:color w:val="000000"/>
        </w:rPr>
        <w:t xml:space="preserve"> et al., 2006 as cited in </w:t>
      </w:r>
      <w:proofErr w:type="spellStart"/>
      <w:r w:rsidR="007F349C">
        <w:rPr>
          <w:rFonts w:cs="Times-Roman"/>
          <w:color w:val="000000"/>
        </w:rPr>
        <w:t>Ahjar</w:t>
      </w:r>
      <w:proofErr w:type="spellEnd"/>
      <w:r w:rsidR="007F349C">
        <w:rPr>
          <w:rFonts w:cs="Times-Roman"/>
          <w:color w:val="000000"/>
        </w:rPr>
        <w:t xml:space="preserve"> et al., 2010 - review</w:t>
      </w:r>
      <w:r w:rsidR="007F349C">
        <w:rPr>
          <w:szCs w:val="20"/>
        </w:rPr>
        <w:t xml:space="preserve">). </w:t>
      </w:r>
      <w:r w:rsidR="00A84AA1">
        <w:rPr>
          <w:szCs w:val="20"/>
        </w:rPr>
        <w:t xml:space="preserve">Consequently the operation of siloxane abatement technology is also a costly undertaking. </w:t>
      </w:r>
      <w:r w:rsidR="007F349C">
        <w:rPr>
          <w:szCs w:val="20"/>
        </w:rPr>
        <w:t>Despite the significance of GAC contactor</w:t>
      </w:r>
      <w:r w:rsidR="00A84AA1">
        <w:rPr>
          <w:szCs w:val="20"/>
        </w:rPr>
        <w:t xml:space="preserve"> operation</w:t>
      </w:r>
      <w:r w:rsidR="007F349C">
        <w:rPr>
          <w:szCs w:val="20"/>
        </w:rPr>
        <w:t xml:space="preserve"> in determining the economic viability of biogas use, </w:t>
      </w:r>
      <w:r w:rsidR="00235351">
        <w:rPr>
          <w:szCs w:val="20"/>
        </w:rPr>
        <w:t>there remains a</w:t>
      </w:r>
      <w:r w:rsidR="00542EE6">
        <w:rPr>
          <w:szCs w:val="20"/>
        </w:rPr>
        <w:t xml:space="preserve"> </w:t>
      </w:r>
      <w:r w:rsidR="0032756D">
        <w:rPr>
          <w:szCs w:val="20"/>
        </w:rPr>
        <w:t>paucity of dat</w:t>
      </w:r>
      <w:r w:rsidR="007F349C">
        <w:rPr>
          <w:szCs w:val="20"/>
        </w:rPr>
        <w:t>a</w:t>
      </w:r>
      <w:r w:rsidR="0032756D">
        <w:rPr>
          <w:szCs w:val="20"/>
        </w:rPr>
        <w:t xml:space="preserve"> in the literature</w:t>
      </w:r>
      <w:r w:rsidR="007F349C">
        <w:rPr>
          <w:szCs w:val="20"/>
        </w:rPr>
        <w:t xml:space="preserve"> on </w:t>
      </w:r>
      <w:r w:rsidR="005657AA">
        <w:rPr>
          <w:szCs w:val="20"/>
        </w:rPr>
        <w:t xml:space="preserve">the operation of </w:t>
      </w:r>
      <w:r w:rsidR="007F349C">
        <w:rPr>
          <w:szCs w:val="20"/>
        </w:rPr>
        <w:t>full scale GAC.</w:t>
      </w:r>
      <w:r w:rsidR="00186A8C">
        <w:rPr>
          <w:szCs w:val="20"/>
        </w:rPr>
        <w:t xml:space="preserve"> T</w:t>
      </w:r>
      <w:r w:rsidR="00A71B9F" w:rsidRPr="00C05173">
        <w:rPr>
          <w:szCs w:val="20"/>
        </w:rPr>
        <w:t>his can be attributed to</w:t>
      </w:r>
      <w:r w:rsidR="00601267" w:rsidRPr="00C05173">
        <w:rPr>
          <w:szCs w:val="20"/>
        </w:rPr>
        <w:t xml:space="preserve"> </w:t>
      </w:r>
      <w:r w:rsidR="005657AA">
        <w:rPr>
          <w:szCs w:val="20"/>
        </w:rPr>
        <w:t xml:space="preserve">current analytical </w:t>
      </w:r>
      <w:r w:rsidR="00186A8C">
        <w:rPr>
          <w:szCs w:val="20"/>
        </w:rPr>
        <w:t>limitations</w:t>
      </w:r>
      <w:r w:rsidR="005657AA">
        <w:rPr>
          <w:szCs w:val="20"/>
        </w:rPr>
        <w:t xml:space="preserve"> where indirect methods are currently used which combine </w:t>
      </w:r>
      <w:r w:rsidR="00C46580" w:rsidRPr="00C05173">
        <w:rPr>
          <w:szCs w:val="20"/>
        </w:rPr>
        <w:t>grab sampl</w:t>
      </w:r>
      <w:r w:rsidR="005657AA">
        <w:rPr>
          <w:szCs w:val="20"/>
        </w:rPr>
        <w:t xml:space="preserve">ing </w:t>
      </w:r>
      <w:r w:rsidR="006123A4" w:rsidRPr="00C05173">
        <w:rPr>
          <w:szCs w:val="20"/>
        </w:rPr>
        <w:fldChar w:fldCharType="begin"/>
      </w:r>
      <w:r w:rsidR="002C1E87">
        <w:rPr>
          <w:szCs w:val="20"/>
        </w:rPr>
        <w:instrText>ADDIN RW.CITE{{11 Ajhar,M. 2010;12 Schweigkofler,M. 1999;}}</w:instrText>
      </w:r>
      <w:r w:rsidR="006123A4" w:rsidRPr="00C05173">
        <w:rPr>
          <w:szCs w:val="20"/>
        </w:rPr>
        <w:fldChar w:fldCharType="separate"/>
      </w:r>
      <w:r w:rsidR="005657AA">
        <w:rPr>
          <w:szCs w:val="20"/>
        </w:rPr>
        <w:t>(</w:t>
      </w:r>
      <w:r w:rsidR="002C1E87">
        <w:rPr>
          <w:szCs w:val="20"/>
        </w:rPr>
        <w:t>Ajhar, 2010; Schweigkofler, 1999</w:t>
      </w:r>
      <w:r w:rsidR="005657AA">
        <w:rPr>
          <w:szCs w:val="20"/>
        </w:rPr>
        <w:t>)</w:t>
      </w:r>
      <w:r w:rsidR="006123A4" w:rsidRPr="00C05173">
        <w:rPr>
          <w:szCs w:val="20"/>
        </w:rPr>
        <w:fldChar w:fldCharType="end"/>
      </w:r>
      <w:r w:rsidR="00C46580" w:rsidRPr="00C05173">
        <w:rPr>
          <w:szCs w:val="20"/>
        </w:rPr>
        <w:t xml:space="preserve"> </w:t>
      </w:r>
      <w:r w:rsidR="005657AA">
        <w:rPr>
          <w:szCs w:val="20"/>
        </w:rPr>
        <w:t xml:space="preserve">with </w:t>
      </w:r>
      <w:r w:rsidR="00601267" w:rsidRPr="00C05173">
        <w:rPr>
          <w:szCs w:val="20"/>
        </w:rPr>
        <w:t xml:space="preserve">subsequent </w:t>
      </w:r>
      <w:r w:rsidR="005657AA">
        <w:rPr>
          <w:szCs w:val="20"/>
        </w:rPr>
        <w:t xml:space="preserve">laboratory </w:t>
      </w:r>
      <w:r w:rsidR="00601267" w:rsidRPr="00C05173">
        <w:rPr>
          <w:szCs w:val="20"/>
        </w:rPr>
        <w:t xml:space="preserve">analysis </w:t>
      </w:r>
      <w:r w:rsidR="005657AA">
        <w:rPr>
          <w:szCs w:val="20"/>
        </w:rPr>
        <w:t>by</w:t>
      </w:r>
      <w:r w:rsidR="00601267" w:rsidRPr="00C05173">
        <w:rPr>
          <w:szCs w:val="20"/>
        </w:rPr>
        <w:t xml:space="preserve"> gas chromatography. </w:t>
      </w:r>
      <w:r w:rsidR="005657AA">
        <w:rPr>
          <w:szCs w:val="20"/>
        </w:rPr>
        <w:t>These techniques introduce a significant lag time and due to the limited number of samples analysed, provide an incomplete de</w:t>
      </w:r>
      <w:r w:rsidR="00A84AA1">
        <w:rPr>
          <w:szCs w:val="20"/>
        </w:rPr>
        <w:t>scription</w:t>
      </w:r>
      <w:r w:rsidR="005657AA">
        <w:rPr>
          <w:szCs w:val="20"/>
        </w:rPr>
        <w:t xml:space="preserve"> of the GAC adsorption breakthrough cycle</w:t>
      </w:r>
      <w:r w:rsidR="00F85E90">
        <w:rPr>
          <w:szCs w:val="20"/>
        </w:rPr>
        <w:t xml:space="preserve"> and only a very approximate guide to media siloxanes capacity</w:t>
      </w:r>
      <w:r w:rsidR="00225DE6">
        <w:rPr>
          <w:szCs w:val="20"/>
        </w:rPr>
        <w:t>. A</w:t>
      </w:r>
      <w:r w:rsidR="005657AA" w:rsidRPr="00C05173">
        <w:rPr>
          <w:szCs w:val="20"/>
        </w:rPr>
        <w:t xml:space="preserve">rnold and </w:t>
      </w:r>
      <w:proofErr w:type="spellStart"/>
      <w:r w:rsidR="005657AA" w:rsidRPr="00C05173">
        <w:rPr>
          <w:szCs w:val="20"/>
        </w:rPr>
        <w:t>Kajolinna</w:t>
      </w:r>
      <w:proofErr w:type="spellEnd"/>
      <w:r w:rsidR="005657AA" w:rsidRPr="00C05173">
        <w:rPr>
          <w:szCs w:val="20"/>
        </w:rPr>
        <w:t xml:space="preserve"> (2010) </w:t>
      </w:r>
      <w:r w:rsidR="00225DE6">
        <w:rPr>
          <w:szCs w:val="20"/>
        </w:rPr>
        <w:t xml:space="preserve">and </w:t>
      </w:r>
      <w:proofErr w:type="spellStart"/>
      <w:r w:rsidR="00225DE6">
        <w:rPr>
          <w:szCs w:val="20"/>
        </w:rPr>
        <w:t>Oshita</w:t>
      </w:r>
      <w:proofErr w:type="spellEnd"/>
      <w:r w:rsidR="00225DE6">
        <w:rPr>
          <w:szCs w:val="20"/>
        </w:rPr>
        <w:t xml:space="preserve"> et al. (2010) introduced </w:t>
      </w:r>
      <w:r w:rsidR="005657AA" w:rsidRPr="00C05173">
        <w:rPr>
          <w:szCs w:val="20"/>
        </w:rPr>
        <w:t>on-line analy</w:t>
      </w:r>
      <w:r w:rsidR="00225DE6">
        <w:rPr>
          <w:szCs w:val="20"/>
        </w:rPr>
        <w:t xml:space="preserve">tical methods </w:t>
      </w:r>
      <w:r w:rsidR="005657AA" w:rsidRPr="00C05173">
        <w:rPr>
          <w:szCs w:val="20"/>
        </w:rPr>
        <w:t xml:space="preserve">to quantify siloxane concentration in </w:t>
      </w:r>
      <w:r w:rsidR="00225DE6">
        <w:rPr>
          <w:szCs w:val="20"/>
        </w:rPr>
        <w:t xml:space="preserve">real </w:t>
      </w:r>
      <w:r w:rsidR="005657AA" w:rsidRPr="00C05173">
        <w:rPr>
          <w:szCs w:val="20"/>
        </w:rPr>
        <w:t xml:space="preserve">biogas in real-time. The authors </w:t>
      </w:r>
      <w:r w:rsidR="00225DE6">
        <w:rPr>
          <w:szCs w:val="20"/>
        </w:rPr>
        <w:t xml:space="preserve">identified that </w:t>
      </w:r>
      <w:r w:rsidR="005657AA" w:rsidRPr="00225DE6">
        <w:rPr>
          <w:szCs w:val="20"/>
        </w:rPr>
        <w:t>D5</w:t>
      </w:r>
      <w:r w:rsidR="00225DE6">
        <w:rPr>
          <w:szCs w:val="20"/>
        </w:rPr>
        <w:t xml:space="preserve"> was the dominant siloxane compound in biogas produced </w:t>
      </w:r>
      <w:r w:rsidR="00E24DF4">
        <w:rPr>
          <w:szCs w:val="20"/>
        </w:rPr>
        <w:t xml:space="preserve">from </w:t>
      </w:r>
      <w:r w:rsidR="00225DE6">
        <w:rPr>
          <w:szCs w:val="20"/>
        </w:rPr>
        <w:t xml:space="preserve">municipal </w:t>
      </w:r>
      <w:r w:rsidR="00E24DF4">
        <w:rPr>
          <w:szCs w:val="20"/>
        </w:rPr>
        <w:t xml:space="preserve">sewage sludge </w:t>
      </w:r>
      <w:r w:rsidR="00225DE6">
        <w:rPr>
          <w:szCs w:val="20"/>
        </w:rPr>
        <w:t xml:space="preserve">and further demonstrated that biogas </w:t>
      </w:r>
      <w:r w:rsidR="00225DE6">
        <w:rPr>
          <w:szCs w:val="20"/>
        </w:rPr>
        <w:lastRenderedPageBreak/>
        <w:t>s</w:t>
      </w:r>
      <w:r w:rsidR="005657AA" w:rsidRPr="00C05173">
        <w:rPr>
          <w:szCs w:val="20"/>
        </w:rPr>
        <w:t>iloxane concentration</w:t>
      </w:r>
      <w:r w:rsidR="00225DE6">
        <w:rPr>
          <w:szCs w:val="20"/>
        </w:rPr>
        <w:t xml:space="preserve"> was highly transient which has not been quantified previously due to limited data resolution. However, to date on-line siloxane analysis has not been used to characterise GAC contactor performance</w:t>
      </w:r>
      <w:r w:rsidR="001D525A">
        <w:rPr>
          <w:szCs w:val="20"/>
        </w:rPr>
        <w:t xml:space="preserve"> for siloxane removal</w:t>
      </w:r>
      <w:r w:rsidR="00225DE6">
        <w:rPr>
          <w:szCs w:val="20"/>
        </w:rPr>
        <w:t>.</w:t>
      </w:r>
      <w:r w:rsidR="001D525A">
        <w:rPr>
          <w:szCs w:val="20"/>
        </w:rPr>
        <w:t xml:space="preserve"> </w:t>
      </w:r>
      <w:r w:rsidR="00225DE6" w:rsidRPr="00C05173">
        <w:rPr>
          <w:szCs w:val="20"/>
        </w:rPr>
        <w:t xml:space="preserve">In this present study, </w:t>
      </w:r>
      <w:r w:rsidR="001D525A">
        <w:rPr>
          <w:szCs w:val="20"/>
        </w:rPr>
        <w:t xml:space="preserve">we therefore use </w:t>
      </w:r>
      <w:r w:rsidR="00225DE6" w:rsidRPr="00C05173">
        <w:rPr>
          <w:szCs w:val="20"/>
        </w:rPr>
        <w:t xml:space="preserve">on-line </w:t>
      </w:r>
      <w:r w:rsidR="00225DE6">
        <w:rPr>
          <w:szCs w:val="20"/>
        </w:rPr>
        <w:t>Fourier transform infrared</w:t>
      </w:r>
      <w:r w:rsidR="00225DE6" w:rsidRPr="00C05173">
        <w:rPr>
          <w:szCs w:val="20"/>
        </w:rPr>
        <w:t xml:space="preserve"> (FTIR) analysis to establish the dynamics of </w:t>
      </w:r>
      <w:r w:rsidR="001D525A">
        <w:rPr>
          <w:szCs w:val="20"/>
        </w:rPr>
        <w:t xml:space="preserve">full scale </w:t>
      </w:r>
      <w:r w:rsidR="00225DE6" w:rsidRPr="00C05173">
        <w:rPr>
          <w:szCs w:val="20"/>
        </w:rPr>
        <w:t>GAC contactor operation in real time.</w:t>
      </w:r>
      <w:r w:rsidR="001D525A">
        <w:rPr>
          <w:szCs w:val="20"/>
        </w:rPr>
        <w:t xml:space="preserve"> </w:t>
      </w:r>
      <w:r w:rsidR="00225DE6" w:rsidRPr="00C05173">
        <w:rPr>
          <w:szCs w:val="20"/>
        </w:rPr>
        <w:t>Specifically, we seek to: (</w:t>
      </w:r>
      <w:proofErr w:type="spellStart"/>
      <w:r w:rsidR="00225DE6" w:rsidRPr="00C05173">
        <w:rPr>
          <w:szCs w:val="20"/>
        </w:rPr>
        <w:t>i</w:t>
      </w:r>
      <w:proofErr w:type="spellEnd"/>
      <w:r w:rsidR="00225DE6" w:rsidRPr="00C05173">
        <w:rPr>
          <w:szCs w:val="20"/>
        </w:rPr>
        <w:t xml:space="preserve">) determine </w:t>
      </w:r>
      <w:r w:rsidR="001D525A">
        <w:rPr>
          <w:szCs w:val="20"/>
        </w:rPr>
        <w:t xml:space="preserve">whether existing full scale GAC contactors can consistently achieve the </w:t>
      </w:r>
      <w:r w:rsidR="00215F6E">
        <w:rPr>
          <w:szCs w:val="20"/>
        </w:rPr>
        <w:t xml:space="preserve">proposed siloxane limits set out in the </w:t>
      </w:r>
      <w:r w:rsidR="001D525A">
        <w:rPr>
          <w:szCs w:val="20"/>
        </w:rPr>
        <w:t xml:space="preserve">warranty specification; (ii) </w:t>
      </w:r>
      <w:r w:rsidR="00D827C1">
        <w:rPr>
          <w:szCs w:val="20"/>
        </w:rPr>
        <w:t xml:space="preserve">characterise </w:t>
      </w:r>
      <w:r w:rsidR="001D525A" w:rsidRPr="00C05173">
        <w:rPr>
          <w:szCs w:val="20"/>
        </w:rPr>
        <w:t>breakthrough</w:t>
      </w:r>
      <w:r w:rsidR="001D525A">
        <w:rPr>
          <w:szCs w:val="20"/>
        </w:rPr>
        <w:t xml:space="preserve"> </w:t>
      </w:r>
      <w:r w:rsidR="00D827C1">
        <w:rPr>
          <w:szCs w:val="20"/>
        </w:rPr>
        <w:t>curves and determine GAC media utilisation</w:t>
      </w:r>
      <w:r w:rsidR="001D525A">
        <w:rPr>
          <w:szCs w:val="20"/>
        </w:rPr>
        <w:t>; and (ii</w:t>
      </w:r>
      <w:r w:rsidR="00D827C1">
        <w:rPr>
          <w:szCs w:val="20"/>
        </w:rPr>
        <w:t>i</w:t>
      </w:r>
      <w:r w:rsidR="001D525A">
        <w:rPr>
          <w:szCs w:val="20"/>
        </w:rPr>
        <w:t xml:space="preserve">) </w:t>
      </w:r>
      <w:r w:rsidR="00225DE6" w:rsidRPr="00C05173">
        <w:rPr>
          <w:szCs w:val="20"/>
        </w:rPr>
        <w:t xml:space="preserve">compare </w:t>
      </w:r>
      <w:r w:rsidR="00D827C1">
        <w:rPr>
          <w:szCs w:val="20"/>
        </w:rPr>
        <w:t>the</w:t>
      </w:r>
      <w:r w:rsidR="00225DE6" w:rsidRPr="00C05173">
        <w:rPr>
          <w:szCs w:val="20"/>
        </w:rPr>
        <w:t xml:space="preserve"> five full-scale GAC contactor</w:t>
      </w:r>
      <w:r w:rsidR="00D827C1">
        <w:rPr>
          <w:szCs w:val="20"/>
        </w:rPr>
        <w:t xml:space="preserve"> designs to ascertain</w:t>
      </w:r>
      <w:r w:rsidR="00B2146F">
        <w:rPr>
          <w:szCs w:val="20"/>
        </w:rPr>
        <w:t xml:space="preserve"> whether differences in design can improve operational</w:t>
      </w:r>
      <w:r w:rsidR="00D827C1">
        <w:rPr>
          <w:szCs w:val="20"/>
        </w:rPr>
        <w:t xml:space="preserve"> </w:t>
      </w:r>
      <w:r w:rsidR="00B2146F">
        <w:rPr>
          <w:szCs w:val="20"/>
        </w:rPr>
        <w:t>performance</w:t>
      </w:r>
      <w:r w:rsidR="00225DE6">
        <w:rPr>
          <w:szCs w:val="20"/>
        </w:rPr>
        <w:t>.</w:t>
      </w:r>
      <w:r w:rsidR="00225DE6" w:rsidRPr="00C05173">
        <w:rPr>
          <w:szCs w:val="20"/>
        </w:rPr>
        <w:t xml:space="preserve">    </w:t>
      </w:r>
    </w:p>
    <w:p w:rsidR="00225DE6" w:rsidRDefault="00225DE6" w:rsidP="00235351">
      <w:pPr>
        <w:spacing w:before="0"/>
        <w:ind w:firstLine="720"/>
        <w:rPr>
          <w:szCs w:val="20"/>
        </w:rPr>
      </w:pPr>
    </w:p>
    <w:p w:rsidR="00912ECB" w:rsidRPr="00BD32E3" w:rsidRDefault="00912ECB" w:rsidP="00BD32E3">
      <w:pPr>
        <w:pStyle w:val="Heading1"/>
        <w:numPr>
          <w:ilvl w:val="0"/>
          <w:numId w:val="12"/>
        </w:numPr>
        <w:spacing w:after="0" w:line="480" w:lineRule="auto"/>
        <w:ind w:hanging="720"/>
        <w:jc w:val="both"/>
      </w:pPr>
      <w:bookmarkStart w:id="2" w:name="_Toc345320625"/>
      <w:r w:rsidRPr="00BD32E3">
        <w:t>Materials and Methods</w:t>
      </w:r>
      <w:bookmarkEnd w:id="2"/>
    </w:p>
    <w:p w:rsidR="00912ECB" w:rsidRPr="00BD32E3" w:rsidRDefault="00256113" w:rsidP="00BD32E3">
      <w:pPr>
        <w:pStyle w:val="Heading2"/>
        <w:numPr>
          <w:ilvl w:val="1"/>
          <w:numId w:val="12"/>
        </w:numPr>
        <w:spacing w:before="0" w:line="480" w:lineRule="auto"/>
        <w:ind w:hanging="720"/>
        <w:rPr>
          <w:b w:val="0"/>
          <w:i/>
          <w:sz w:val="24"/>
          <w:szCs w:val="24"/>
        </w:rPr>
      </w:pPr>
      <w:r w:rsidRPr="00BD32E3">
        <w:rPr>
          <w:b w:val="0"/>
          <w:i/>
          <w:sz w:val="24"/>
          <w:szCs w:val="24"/>
        </w:rPr>
        <w:t>Site</w:t>
      </w:r>
      <w:r w:rsidR="00A84AA1">
        <w:rPr>
          <w:b w:val="0"/>
          <w:i/>
          <w:sz w:val="24"/>
          <w:szCs w:val="24"/>
        </w:rPr>
        <w:t xml:space="preserve"> description</w:t>
      </w:r>
    </w:p>
    <w:p w:rsidR="00912ECB" w:rsidRPr="00C05173" w:rsidRDefault="00A84AA1" w:rsidP="00880A08">
      <w:pPr>
        <w:spacing w:before="0"/>
      </w:pPr>
      <w:r>
        <w:t>The s</w:t>
      </w:r>
      <w:r w:rsidR="00392FC1" w:rsidRPr="00C05173">
        <w:t xml:space="preserve">ewage </w:t>
      </w:r>
      <w:r>
        <w:t>t</w:t>
      </w:r>
      <w:r w:rsidR="00392FC1" w:rsidRPr="00C05173">
        <w:t xml:space="preserve">reatment </w:t>
      </w:r>
      <w:r>
        <w:t>w</w:t>
      </w:r>
      <w:r w:rsidR="00912ECB" w:rsidRPr="00C05173">
        <w:t>orks</w:t>
      </w:r>
      <w:r w:rsidR="007C6EA7" w:rsidRPr="00C05173">
        <w:t xml:space="preserve"> </w:t>
      </w:r>
      <w:r w:rsidR="00A9459C" w:rsidRPr="00C05173">
        <w:t xml:space="preserve">serves </w:t>
      </w:r>
      <w:r w:rsidRPr="00C05173">
        <w:t xml:space="preserve">1.75 million </w:t>
      </w:r>
      <w:r w:rsidR="00A9459C" w:rsidRPr="00C05173">
        <w:t>population equivalent</w:t>
      </w:r>
      <w:r>
        <w:t>s</w:t>
      </w:r>
      <w:r w:rsidR="00A9459C" w:rsidRPr="00C05173">
        <w:t xml:space="preserve"> and also imports sewage sludge</w:t>
      </w:r>
      <w:r>
        <w:t xml:space="preserve"> from satellite works increasing the </w:t>
      </w:r>
      <w:r w:rsidR="00A9459C" w:rsidRPr="00C05173">
        <w:t xml:space="preserve">total </w:t>
      </w:r>
      <w:r>
        <w:t>to</w:t>
      </w:r>
      <w:r w:rsidR="00A9459C" w:rsidRPr="00C05173">
        <w:t xml:space="preserve"> 2.5 million population equivalents</w:t>
      </w:r>
      <w:r w:rsidR="00E50592" w:rsidRPr="00C05173">
        <w:t xml:space="preserve">. </w:t>
      </w:r>
      <w:r>
        <w:t>A total of s</w:t>
      </w:r>
      <w:r w:rsidR="00912ECB" w:rsidRPr="00C05173">
        <w:t xml:space="preserve">ixteen anaerobic digesters produce </w:t>
      </w:r>
      <w:r>
        <w:t xml:space="preserve">around </w:t>
      </w:r>
      <w:r w:rsidR="00912ECB" w:rsidRPr="00C05173">
        <w:t>3</w:t>
      </w:r>
      <w:r>
        <w:t>4</w:t>
      </w:r>
      <w:r w:rsidR="00912ECB" w:rsidRPr="00C05173">
        <w:t>00 m</w:t>
      </w:r>
      <w:r w:rsidR="00912ECB" w:rsidRPr="00C05173">
        <w:rPr>
          <w:vertAlign w:val="superscript"/>
        </w:rPr>
        <w:t>3</w:t>
      </w:r>
      <w:r>
        <w:rPr>
          <w:vertAlign w:val="superscript"/>
        </w:rPr>
        <w:t xml:space="preserve"> </w:t>
      </w:r>
      <w:r w:rsidR="00912ECB" w:rsidRPr="00C05173">
        <w:t>h</w:t>
      </w:r>
      <w:r w:rsidRPr="00A84AA1">
        <w:rPr>
          <w:vertAlign w:val="superscript"/>
        </w:rPr>
        <w:t>-1</w:t>
      </w:r>
      <w:r w:rsidR="00912ECB" w:rsidRPr="00C05173">
        <w:t xml:space="preserve"> of biogas </w:t>
      </w:r>
      <w:r>
        <w:t xml:space="preserve">from the sludge </w:t>
      </w:r>
      <w:r w:rsidR="00912ECB" w:rsidRPr="00C05173">
        <w:t xml:space="preserve">which is </w:t>
      </w:r>
      <w:r>
        <w:t xml:space="preserve">directly </w:t>
      </w:r>
      <w:r w:rsidR="00912ECB" w:rsidRPr="00C05173">
        <w:t xml:space="preserve">utilised </w:t>
      </w:r>
      <w:r>
        <w:t>in a CHP plant</w:t>
      </w:r>
      <w:r w:rsidR="00912ECB" w:rsidRPr="00C05173">
        <w:t xml:space="preserve">.  </w:t>
      </w:r>
      <w:r>
        <w:t>The biogas abatement technology installed comprises s</w:t>
      </w:r>
      <w:r w:rsidR="00E50592" w:rsidRPr="00C05173">
        <w:t xml:space="preserve">even </w:t>
      </w:r>
      <w:r w:rsidR="00C57611">
        <w:t xml:space="preserve">granular activated </w:t>
      </w:r>
      <w:r w:rsidR="00E50592" w:rsidRPr="00C05173">
        <w:t>carbon contactors of four different designs.</w:t>
      </w:r>
      <w:r w:rsidR="00880A08" w:rsidRPr="00C05173">
        <w:t xml:space="preserve"> </w:t>
      </w:r>
      <w:r w:rsidR="007C2696" w:rsidRPr="00C05173">
        <w:t>The contactors</w:t>
      </w:r>
      <w:r w:rsidR="00C57611">
        <w:t xml:space="preserve"> are divided into five contactor arrangements </w:t>
      </w:r>
      <w:r w:rsidR="00807EDD" w:rsidRPr="00C05173">
        <w:t>(GAC1-5</w:t>
      </w:r>
      <w:r w:rsidR="00167320" w:rsidRPr="00C05173">
        <w:t>,</w:t>
      </w:r>
      <w:r w:rsidR="00E05208">
        <w:t xml:space="preserve"> Table 2</w:t>
      </w:r>
      <w:r w:rsidR="00807EDD" w:rsidRPr="00C05173">
        <w:t>)</w:t>
      </w:r>
      <w:r w:rsidR="007C2696" w:rsidRPr="00C05173">
        <w:t xml:space="preserve"> </w:t>
      </w:r>
      <w:r w:rsidR="00C57611">
        <w:t>with GAC4 and GAC5 comprising contactor pairs which are operated in series to effectively double contactor length</w:t>
      </w:r>
      <w:r w:rsidR="005432A1">
        <w:t xml:space="preserve">. </w:t>
      </w:r>
      <w:r w:rsidR="00C57611">
        <w:t xml:space="preserve">Biogas flow is split upstream of the five contactor arrangements. As such </w:t>
      </w:r>
      <w:r w:rsidR="007C2696" w:rsidRPr="00C05173">
        <w:t xml:space="preserve">all </w:t>
      </w:r>
      <w:r w:rsidR="00C57611">
        <w:t xml:space="preserve">contactors are subject to </w:t>
      </w:r>
      <w:r w:rsidR="007C2696" w:rsidRPr="00C05173">
        <w:t xml:space="preserve">the same feed gas </w:t>
      </w:r>
      <w:r w:rsidR="00C57611">
        <w:lastRenderedPageBreak/>
        <w:t xml:space="preserve">composition </w:t>
      </w:r>
      <w:r w:rsidR="00DA12D3" w:rsidRPr="00C05173">
        <w:t xml:space="preserve">allowing </w:t>
      </w:r>
      <w:r w:rsidR="00C57611">
        <w:t>direct comparison to be made</w:t>
      </w:r>
      <w:r w:rsidR="00807EDD" w:rsidRPr="00C05173">
        <w:t>.</w:t>
      </w:r>
      <w:r w:rsidR="006E47E8" w:rsidRPr="00C05173">
        <w:t xml:space="preserve"> </w:t>
      </w:r>
      <w:r w:rsidR="00A95344" w:rsidRPr="00C05173">
        <w:t xml:space="preserve">The contactors </w:t>
      </w:r>
      <w:r w:rsidR="005432A1">
        <w:t xml:space="preserve">are cylindrical with height and diameters ranging </w:t>
      </w:r>
      <w:r w:rsidR="005432A1" w:rsidRPr="00C05173">
        <w:t xml:space="preserve">1.6 </w:t>
      </w:r>
      <w:r w:rsidR="005432A1">
        <w:t xml:space="preserve">to </w:t>
      </w:r>
      <w:r w:rsidR="005432A1" w:rsidRPr="00C05173">
        <w:t xml:space="preserve">2.0 m and 0.9 </w:t>
      </w:r>
      <w:r w:rsidR="005432A1">
        <w:t>to</w:t>
      </w:r>
      <w:r w:rsidR="005432A1" w:rsidRPr="00C05173">
        <w:t xml:space="preserve"> 1.6 m</w:t>
      </w:r>
      <w:r w:rsidR="005432A1">
        <w:t xml:space="preserve"> respectively and </w:t>
      </w:r>
      <w:r w:rsidR="00A95344" w:rsidRPr="00C05173">
        <w:t>contain between 450 and 3000 kg of carbon.</w:t>
      </w:r>
      <w:r w:rsidR="000E00CC" w:rsidRPr="00C05173">
        <w:t xml:space="preserve"> </w:t>
      </w:r>
      <w:r w:rsidR="00A95344" w:rsidRPr="00C05173">
        <w:t>Gas flow is upwards for all contactors</w:t>
      </w:r>
      <w:r w:rsidR="002C1E87">
        <w:t xml:space="preserve"> </w:t>
      </w:r>
      <w:r w:rsidR="006626E0">
        <w:t xml:space="preserve">with </w:t>
      </w:r>
      <w:r w:rsidR="005F12CF">
        <w:t>gas distribution achieved using a perforated plate</w:t>
      </w:r>
      <w:r w:rsidR="00A95344" w:rsidRPr="00C05173">
        <w:t xml:space="preserve">.  </w:t>
      </w:r>
      <w:r w:rsidR="0072047C" w:rsidRPr="00C05173">
        <w:t xml:space="preserve">The </w:t>
      </w:r>
      <w:r w:rsidR="006626E0">
        <w:t xml:space="preserve">GAC media in each vessel is identical and is characterised by an approximate diameter of 4 mm and </w:t>
      </w:r>
      <w:r w:rsidR="0072047C" w:rsidRPr="00C05173">
        <w:t xml:space="preserve">BET surface area </w:t>
      </w:r>
      <w:r w:rsidR="006626E0">
        <w:t xml:space="preserve">of </w:t>
      </w:r>
      <w:r w:rsidR="0072047C" w:rsidRPr="00C05173">
        <w:t>782.3</w:t>
      </w:r>
      <w:r w:rsidR="006626E0">
        <w:t xml:space="preserve"> </w:t>
      </w:r>
      <w:r w:rsidR="0072047C" w:rsidRPr="00C05173">
        <w:t>m</w:t>
      </w:r>
      <w:r w:rsidR="0072047C" w:rsidRPr="00C05173">
        <w:rPr>
          <w:vertAlign w:val="superscript"/>
        </w:rPr>
        <w:t>2</w:t>
      </w:r>
      <w:r w:rsidR="006626E0">
        <w:t xml:space="preserve"> </w:t>
      </w:r>
      <w:r w:rsidR="0072047C" w:rsidRPr="00C05173">
        <w:t>g</w:t>
      </w:r>
      <w:r w:rsidR="006626E0" w:rsidRPr="006626E0">
        <w:rPr>
          <w:vertAlign w:val="superscript"/>
        </w:rPr>
        <w:t>-1</w:t>
      </w:r>
      <w:r w:rsidR="006626E0">
        <w:t xml:space="preserve"> (Table 2).</w:t>
      </w:r>
      <w:r w:rsidR="0072047C" w:rsidRPr="00C05173">
        <w:t xml:space="preserve"> </w:t>
      </w:r>
      <w:r w:rsidR="006626E0">
        <w:t xml:space="preserve">The media in each vessel is exchanged periodically with all vessels undergoing media exchange simultaneously. </w:t>
      </w:r>
    </w:p>
    <w:p w:rsidR="00880A08" w:rsidRPr="00C05173" w:rsidRDefault="00880A08" w:rsidP="00880A08">
      <w:pPr>
        <w:spacing w:before="0"/>
      </w:pPr>
    </w:p>
    <w:p w:rsidR="00912ECB" w:rsidRPr="00BD32E3" w:rsidRDefault="00BD32E3" w:rsidP="006626E0">
      <w:pPr>
        <w:pStyle w:val="Heading2"/>
        <w:numPr>
          <w:ilvl w:val="1"/>
          <w:numId w:val="12"/>
        </w:numPr>
        <w:spacing w:before="0" w:line="480" w:lineRule="auto"/>
        <w:ind w:hanging="720"/>
        <w:rPr>
          <w:b w:val="0"/>
          <w:i/>
          <w:sz w:val="24"/>
          <w:szCs w:val="24"/>
        </w:rPr>
      </w:pPr>
      <w:r>
        <w:rPr>
          <w:b w:val="0"/>
          <w:i/>
          <w:sz w:val="24"/>
          <w:szCs w:val="24"/>
        </w:rPr>
        <w:t>On-</w:t>
      </w:r>
      <w:r w:rsidRPr="00BD32E3">
        <w:rPr>
          <w:b w:val="0"/>
          <w:i/>
          <w:sz w:val="24"/>
          <w:szCs w:val="24"/>
        </w:rPr>
        <w:t>line Fourier Transform Infrared (FTIR) analysis</w:t>
      </w:r>
    </w:p>
    <w:p w:rsidR="003E5839" w:rsidRPr="00E05208" w:rsidRDefault="002970C6" w:rsidP="006626E0">
      <w:pPr>
        <w:spacing w:before="0"/>
      </w:pPr>
      <w:r w:rsidRPr="00E05208">
        <w:t xml:space="preserve">The </w:t>
      </w:r>
      <w:r w:rsidR="006626E0" w:rsidRPr="00E05208">
        <w:t xml:space="preserve">FTIR </w:t>
      </w:r>
      <w:r w:rsidRPr="00E05208">
        <w:t>spectrometer comprised a 2 m path length</w:t>
      </w:r>
      <w:r w:rsidR="006626E0" w:rsidRPr="00E05208">
        <w:t xml:space="preserve"> (</w:t>
      </w:r>
      <w:proofErr w:type="spellStart"/>
      <w:r w:rsidR="006626E0" w:rsidRPr="00E05208">
        <w:t>Antaris</w:t>
      </w:r>
      <w:proofErr w:type="spellEnd"/>
      <w:r w:rsidR="006626E0" w:rsidRPr="00E05208">
        <w:t xml:space="preserve"> IGS, </w:t>
      </w:r>
      <w:proofErr w:type="spellStart"/>
      <w:r w:rsidR="006626E0" w:rsidRPr="00E05208">
        <w:t>Thermo</w:t>
      </w:r>
      <w:proofErr w:type="spellEnd"/>
      <w:r w:rsidR="006626E0" w:rsidRPr="00E05208">
        <w:t xml:space="preserve"> Fisher Scientific </w:t>
      </w:r>
      <w:proofErr w:type="spellStart"/>
      <w:r w:rsidR="006626E0" w:rsidRPr="00E05208">
        <w:t>Inc</w:t>
      </w:r>
      <w:proofErr w:type="spellEnd"/>
      <w:r w:rsidR="006626E0" w:rsidRPr="00E05208">
        <w:t>, Waltham, MA). The gas cell was operated at 80</w:t>
      </w:r>
      <w:r w:rsidR="006626E0" w:rsidRPr="00E05208">
        <w:rPr>
          <w:rFonts w:cs="Calibri"/>
        </w:rPr>
        <w:t>°</w:t>
      </w:r>
      <w:r w:rsidR="006626E0" w:rsidRPr="00E05208">
        <w:t>C to reduce the likelihood for condensation. The mirrors within the gas cell were coated with gold to diminish the likelihood of deposition</w:t>
      </w:r>
      <w:r w:rsidR="006626E0" w:rsidRPr="00E05208">
        <w:rPr>
          <w:b/>
        </w:rPr>
        <w:t xml:space="preserve">. </w:t>
      </w:r>
      <w:r w:rsidR="006626E0" w:rsidRPr="00E05208">
        <w:t>Cyclic and linear siloxanes were discriminated at 798 to 817 cm</w:t>
      </w:r>
      <w:r w:rsidR="006626E0" w:rsidRPr="00E05208">
        <w:rPr>
          <w:vertAlign w:val="superscript"/>
        </w:rPr>
        <w:t>-1</w:t>
      </w:r>
      <w:r w:rsidR="006626E0" w:rsidRPr="00E05208">
        <w:t xml:space="preserve"> and 837 to 867 cm</w:t>
      </w:r>
      <w:r w:rsidR="006626E0" w:rsidRPr="00E05208">
        <w:rPr>
          <w:vertAlign w:val="superscript"/>
        </w:rPr>
        <w:t>-1</w:t>
      </w:r>
      <w:r w:rsidR="006626E0" w:rsidRPr="00E05208">
        <w:t xml:space="preserve"> respectively. Gas samples were subject to twenty scans over 120 seconds where </w:t>
      </w:r>
      <w:r w:rsidR="000C1DD4" w:rsidRPr="00E05208">
        <w:t>t</w:t>
      </w:r>
      <w:r w:rsidR="006626E0" w:rsidRPr="00E05208">
        <w:t xml:space="preserve">he </w:t>
      </w:r>
      <w:r w:rsidR="000C1DD4" w:rsidRPr="00E05208">
        <w:t>r</w:t>
      </w:r>
      <w:r w:rsidR="006626E0" w:rsidRPr="00E05208">
        <w:t xml:space="preserve">eported value </w:t>
      </w:r>
      <w:r w:rsidR="000C1DD4" w:rsidRPr="00E05208">
        <w:t>comprised an average value from</w:t>
      </w:r>
      <w:r w:rsidR="006626E0" w:rsidRPr="00E05208">
        <w:t xml:space="preserve"> the scan. </w:t>
      </w:r>
      <w:r w:rsidR="000C1DD4" w:rsidRPr="00E05208">
        <w:t>B</w:t>
      </w:r>
      <w:r w:rsidR="006626E0" w:rsidRPr="00E05208">
        <w:t>ackground spectra (found by scanning with the gas cell evacuated) were subt</w:t>
      </w:r>
      <w:r w:rsidR="000C1DD4" w:rsidRPr="00E05208">
        <w:t xml:space="preserve">racted from the sample spectrum. </w:t>
      </w:r>
      <w:r w:rsidR="006626E0" w:rsidRPr="00E05208">
        <w:t>The manufacturer limit of detection was stated as 7 mg m</w:t>
      </w:r>
      <w:r w:rsidR="006626E0" w:rsidRPr="00E05208">
        <w:rPr>
          <w:vertAlign w:val="superscript"/>
        </w:rPr>
        <w:t>-3</w:t>
      </w:r>
      <w:r w:rsidR="006626E0" w:rsidRPr="00E05208">
        <w:t xml:space="preserve"> with an accuracy of 10 %. Cyclic siloxane data measured in real biogas using the FT-IR were compared to data provided using a UKAS accredited GC-MS method on comparable samples. The method comparison presented a linear response within 95% confidence limits.</w:t>
      </w:r>
      <w:r w:rsidR="000C1DD4" w:rsidRPr="00E05208">
        <w:t xml:space="preserve"> A</w:t>
      </w:r>
      <w:r w:rsidRPr="00E05208">
        <w:t xml:space="preserve"> coarse filter was sited upstream of the instrument to protect from free water ingress and </w:t>
      </w:r>
      <w:r w:rsidR="001A6C15" w:rsidRPr="00E05208">
        <w:t>any</w:t>
      </w:r>
      <w:r w:rsidRPr="00E05208">
        <w:t xml:space="preserve"> carbon fines</w:t>
      </w:r>
      <w:r w:rsidR="001A6C15" w:rsidRPr="00E05208">
        <w:t xml:space="preserve">. </w:t>
      </w:r>
      <w:r w:rsidR="000C1DD4" w:rsidRPr="00E05208">
        <w:t xml:space="preserve">Gas samples were drawn into the cell using a </w:t>
      </w:r>
      <w:r w:rsidR="000C1DD4" w:rsidRPr="00E05208">
        <w:lastRenderedPageBreak/>
        <w:t xml:space="preserve">vacuum pump linked to a multipoint valve assembly which enabled samples to be drawn from upstream of the contactors (biogas feed) and from downstream of each contactor (six actuating ports in total) which enabled simultaneous data collection from all contactors. </w:t>
      </w:r>
      <w:r w:rsidRPr="00E05208">
        <w:t xml:space="preserve">Before </w:t>
      </w:r>
      <w:r w:rsidR="000C1DD4" w:rsidRPr="00E05208">
        <w:t>drawing a sample into the gas cell,</w:t>
      </w:r>
      <w:r w:rsidRPr="00E05208">
        <w:t xml:space="preserve"> gas lines were purged for two minutes </w:t>
      </w:r>
      <w:r w:rsidR="000C1DD4" w:rsidRPr="00E05208">
        <w:t>which was equivalent to greater than three retention times.</w:t>
      </w:r>
    </w:p>
    <w:p w:rsidR="00880A08" w:rsidRPr="00C05173" w:rsidRDefault="00880A08" w:rsidP="00880A08">
      <w:pPr>
        <w:spacing w:before="0"/>
      </w:pPr>
    </w:p>
    <w:p w:rsidR="00912ECB" w:rsidRPr="00BD32E3" w:rsidRDefault="00256113" w:rsidP="00880A08">
      <w:pPr>
        <w:pStyle w:val="Heading2"/>
        <w:numPr>
          <w:ilvl w:val="1"/>
          <w:numId w:val="12"/>
        </w:numPr>
        <w:spacing w:before="0" w:line="480" w:lineRule="auto"/>
        <w:ind w:hanging="720"/>
        <w:rPr>
          <w:b w:val="0"/>
          <w:i/>
          <w:sz w:val="24"/>
          <w:szCs w:val="24"/>
        </w:rPr>
      </w:pPr>
      <w:r w:rsidRPr="00BD32E3">
        <w:rPr>
          <w:b w:val="0"/>
          <w:i/>
          <w:sz w:val="24"/>
          <w:szCs w:val="24"/>
        </w:rPr>
        <w:t>Data analysis</w:t>
      </w:r>
    </w:p>
    <w:p w:rsidR="00A51DA9" w:rsidRDefault="000C1DD4" w:rsidP="00EF6AF0">
      <w:pPr>
        <w:spacing w:before="0"/>
      </w:pPr>
      <w:r>
        <w:t>T</w:t>
      </w:r>
      <w:r w:rsidR="00842D41" w:rsidRPr="00C05173">
        <w:t xml:space="preserve">ime </w:t>
      </w:r>
      <w:r>
        <w:t>to</w:t>
      </w:r>
      <w:r w:rsidR="00842D41" w:rsidRPr="00C05173">
        <w:t xml:space="preserve"> breakthrough (</w:t>
      </w:r>
      <w:proofErr w:type="spellStart"/>
      <w:r w:rsidR="00842D41" w:rsidRPr="00C05173">
        <w:t>tb</w:t>
      </w:r>
      <w:proofErr w:type="spellEnd"/>
      <w:r w:rsidR="00842D41" w:rsidRPr="00C05173">
        <w:t>) was defined as the time at which the outlet siloxane concentration exceeded 3</w:t>
      </w:r>
      <w:r w:rsidR="006B63DC">
        <w:t>0</w:t>
      </w:r>
      <w:r w:rsidR="00842D41" w:rsidRPr="00C05173">
        <w:t xml:space="preserve"> mg</w:t>
      </w:r>
      <w:r>
        <w:t xml:space="preserve"> </w:t>
      </w:r>
      <w:r w:rsidR="00842D41" w:rsidRPr="00C05173">
        <w:t>m</w:t>
      </w:r>
      <w:r w:rsidRPr="000C1DD4">
        <w:rPr>
          <w:vertAlign w:val="superscript"/>
        </w:rPr>
        <w:t>-</w:t>
      </w:r>
      <w:r w:rsidR="00842D41" w:rsidRPr="00C05173">
        <w:rPr>
          <w:vertAlign w:val="superscript"/>
        </w:rPr>
        <w:t>3</w:t>
      </w:r>
      <w:r w:rsidR="00842D41" w:rsidRPr="00C05173">
        <w:t xml:space="preserve"> for the third consecutive measurement</w:t>
      </w:r>
      <w:r>
        <w:t xml:space="preserve">. This concentration corresponds to the upper limit proposed within </w:t>
      </w:r>
      <w:r w:rsidR="001A6C15">
        <w:t xml:space="preserve">the </w:t>
      </w:r>
      <w:r>
        <w:t>en</w:t>
      </w:r>
      <w:r w:rsidR="001A6C15">
        <w:t>gine warranty specifications (Table 1)</w:t>
      </w:r>
      <w:r w:rsidR="00842D41" w:rsidRPr="00C05173">
        <w:t>.</w:t>
      </w:r>
      <w:r w:rsidR="00531C91" w:rsidRPr="00C05173">
        <w:t xml:space="preserve"> </w:t>
      </w:r>
      <w:r w:rsidR="00795F33" w:rsidRPr="00C05173">
        <w:t xml:space="preserve">The volume of gas treated before breakthrough </w:t>
      </w:r>
      <w:proofErr w:type="gramStart"/>
      <w:r w:rsidR="00795F33" w:rsidRPr="00C05173">
        <w:t>V(</w:t>
      </w:r>
      <w:proofErr w:type="spellStart"/>
      <w:proofErr w:type="gramEnd"/>
      <w:r w:rsidR="00795F33" w:rsidRPr="00C05173">
        <w:t>tb</w:t>
      </w:r>
      <w:proofErr w:type="spellEnd"/>
      <w:r w:rsidR="00795F33" w:rsidRPr="00C05173">
        <w:t>) is</w:t>
      </w:r>
      <w:r w:rsidR="001B6E59" w:rsidRPr="00C05173">
        <w:t xml:space="preserve"> </w:t>
      </w:r>
      <w:r w:rsidR="003F0F4E" w:rsidRPr="00C05173">
        <w:t>calculated by integrating the gas flow over time</w:t>
      </w:r>
      <w:r w:rsidR="001A6C15">
        <w:t>:</w:t>
      </w:r>
      <w:r w:rsidR="003F0F4E" w:rsidRPr="00C05173">
        <w:t xml:space="preserve"> </w:t>
      </w:r>
    </w:p>
    <w:p w:rsidR="00E05208" w:rsidRPr="00E05208" w:rsidRDefault="00E05208" w:rsidP="00EF6AF0">
      <w:pPr>
        <w:spacing w:before="0"/>
      </w:pPr>
      <m:oMath>
        <m:r>
          <w:rPr>
            <w:rFonts w:ascii="Cambria Math" w:hAnsi="Cambria Math"/>
          </w:rPr>
          <m:t xml:space="preserve">V(tb)= </m:t>
        </m:r>
        <m:f>
          <m:fPr>
            <m:ctrlPr>
              <w:rPr>
                <w:rFonts w:ascii="Cambria Math" w:hAnsi="Cambria Math"/>
                <w:i/>
              </w:rPr>
            </m:ctrlPr>
          </m:fPr>
          <m:num>
            <m:r>
              <w:rPr>
                <w:rFonts w:ascii="Cambria Math" w:hAnsi="Cambria Math"/>
              </w:rPr>
              <m:t>1</m:t>
            </m:r>
          </m:num>
          <m:den>
            <m:r>
              <w:rPr>
                <w:rFonts w:ascii="Cambria Math" w:hAnsi="Cambria Math"/>
              </w:rPr>
              <m:t>BV</m:t>
            </m:r>
          </m:den>
        </m:f>
        <m:nary>
          <m:naryPr>
            <m:limLoc m:val="subSup"/>
            <m:ctrlPr>
              <w:rPr>
                <w:rFonts w:ascii="Cambria Math" w:hAnsi="Cambria Math"/>
                <w:i/>
              </w:rPr>
            </m:ctrlPr>
          </m:naryPr>
          <m:sub>
            <m:r>
              <w:rPr>
                <w:rFonts w:ascii="Cambria Math" w:hAnsi="Cambria Math"/>
              </w:rPr>
              <m:t>0</m:t>
            </m:r>
          </m:sub>
          <m:sup>
            <m:r>
              <w:rPr>
                <w:rFonts w:ascii="Cambria Math" w:hAnsi="Cambria Math"/>
              </w:rPr>
              <m:t>tb</m:t>
            </m:r>
          </m:sup>
          <m:e>
            <m:r>
              <w:rPr>
                <w:rFonts w:ascii="Cambria Math" w:hAnsi="Cambria Math"/>
              </w:rPr>
              <m:t>F(t) dt</m:t>
            </m:r>
          </m:e>
        </m:nary>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BV</m:t>
            </m:r>
          </m:den>
        </m:f>
        <m:nary>
          <m:naryPr>
            <m:chr m:val="∑"/>
            <m:limLoc m:val="subSup"/>
            <m:ctrlPr>
              <w:rPr>
                <w:rFonts w:ascii="Cambria Math" w:hAnsi="Cambria Math"/>
                <w:i/>
              </w:rPr>
            </m:ctrlPr>
          </m:naryPr>
          <m:sub>
            <m:r>
              <w:rPr>
                <w:rFonts w:ascii="Cambria Math" w:hAnsi="Cambria Math"/>
              </w:rPr>
              <m:t>0</m:t>
            </m:r>
          </m:sub>
          <m:sup>
            <m:r>
              <w:rPr>
                <w:rFonts w:ascii="Cambria Math" w:hAnsi="Cambria Math"/>
              </w:rPr>
              <m:t>tb</m:t>
            </m:r>
          </m:sup>
          <m:e>
            <m:r>
              <w:rPr>
                <w:rFonts w:ascii="Cambria Math" w:hAnsi="Cambria Math"/>
              </w:rPr>
              <m:t>F(t)</m:t>
            </m:r>
            <m:d>
              <m:dPr>
                <m:ctrlPr>
                  <w:rPr>
                    <w:rFonts w:ascii="Cambria Math" w:hAnsi="Cambria Math"/>
                    <w:i/>
                  </w:rPr>
                </m:ctrlPr>
              </m:dPr>
              <m:e>
                <m:r>
                  <w:rPr>
                    <w:rFonts w:ascii="Cambria Math" w:hAnsi="Cambria Math"/>
                  </w:rPr>
                  <m:t>h(t)-h(t-1)</m:t>
                </m:r>
              </m:e>
            </m:d>
          </m:e>
        </m:nary>
      </m:oMath>
      <w:r>
        <w:tab/>
      </w:r>
      <w:r>
        <w:tab/>
      </w:r>
      <w:r>
        <w:tab/>
      </w:r>
      <w:r>
        <w:tab/>
      </w:r>
      <w:r>
        <w:tab/>
        <w:t>(2)</w:t>
      </w:r>
    </w:p>
    <w:p w:rsidR="00E05208" w:rsidRDefault="00E05208" w:rsidP="00EF6AF0">
      <w:pPr>
        <w:spacing w:before="0"/>
      </w:pPr>
      <w:proofErr w:type="gramStart"/>
      <w:r w:rsidRPr="00C05173">
        <w:t>where</w:t>
      </w:r>
      <w:proofErr w:type="gramEnd"/>
      <w:r w:rsidRPr="00C05173">
        <w:t xml:space="preserve"> V(t) is the cumulative gas volume (measured in bed volumes), F(t) is the flow in m</w:t>
      </w:r>
      <w:r w:rsidRPr="00C05173">
        <w:rPr>
          <w:vertAlign w:val="superscript"/>
        </w:rPr>
        <w:t>3</w:t>
      </w:r>
      <w:r>
        <w:t xml:space="preserve"> </w:t>
      </w:r>
      <w:r w:rsidRPr="00C05173">
        <w:t>h</w:t>
      </w:r>
      <w:r w:rsidRPr="001A6C15">
        <w:rPr>
          <w:vertAlign w:val="superscript"/>
        </w:rPr>
        <w:t>-1</w:t>
      </w:r>
      <w:r w:rsidRPr="00C05173">
        <w:t xml:space="preserve"> and h(t) is the hours elapsed since the previous bed change</w:t>
      </w:r>
      <w:r>
        <w:t>,</w:t>
      </w:r>
      <w:r w:rsidRPr="00C05173">
        <w:t xml:space="preserve"> and </w:t>
      </w:r>
      <w:proofErr w:type="spellStart"/>
      <w:r w:rsidRPr="00C05173">
        <w:t>B</w:t>
      </w:r>
      <w:r>
        <w:t>v</w:t>
      </w:r>
      <w:proofErr w:type="spellEnd"/>
      <w:r w:rsidRPr="00C05173">
        <w:t xml:space="preserve"> is the volume of the contactor </w:t>
      </w:r>
      <w:r>
        <w:t>(</w:t>
      </w:r>
      <w:r w:rsidRPr="00C05173">
        <w:t>m</w:t>
      </w:r>
      <w:r w:rsidRPr="00C05173">
        <w:rPr>
          <w:vertAlign w:val="superscript"/>
        </w:rPr>
        <w:t>3</w:t>
      </w:r>
      <w:r>
        <w:t>).</w:t>
      </w:r>
      <w:r w:rsidRPr="00C05173">
        <w:t xml:space="preserve"> The mass of siloxanes adsorbed before breakthrough</w:t>
      </w:r>
      <w:r>
        <w:t xml:space="preserve"> (</w:t>
      </w:r>
      <w:proofErr w:type="spellStart"/>
      <w:r w:rsidRPr="00C05173">
        <w:t>M</w:t>
      </w:r>
      <w:r w:rsidRPr="00C05173">
        <w:rPr>
          <w:vertAlign w:val="subscript"/>
        </w:rPr>
        <w:t>SX</w:t>
      </w:r>
      <w:proofErr w:type="gramStart"/>
      <w:r w:rsidRPr="00C05173">
        <w:rPr>
          <w:vertAlign w:val="subscript"/>
        </w:rPr>
        <w:t>,ad</w:t>
      </w:r>
      <w:proofErr w:type="spellEnd"/>
      <w:proofErr w:type="gramEnd"/>
      <w:r>
        <w:t>[</w:t>
      </w:r>
      <w:proofErr w:type="spellStart"/>
      <w:r w:rsidRPr="00C05173">
        <w:t>tb</w:t>
      </w:r>
      <w:proofErr w:type="spellEnd"/>
      <w:r>
        <w:t>]</w:t>
      </w:r>
      <w:r w:rsidRPr="00C05173">
        <w:t>)</w:t>
      </w:r>
      <w:r>
        <w:t xml:space="preserve"> was</w:t>
      </w:r>
      <w:r w:rsidRPr="00C05173">
        <w:t xml:space="preserve"> calculated by integrating the product of the siloxane concentration and the gas flow rate over time:  </w:t>
      </w:r>
    </w:p>
    <w:p w:rsidR="00E05208" w:rsidRPr="00E05208" w:rsidRDefault="00266656" w:rsidP="00EF6AF0">
      <w:pPr>
        <w:spacing w:before="0"/>
      </w:pPr>
      <m:oMath>
        <m:sSub>
          <m:sSubPr>
            <m:ctrlPr>
              <w:rPr>
                <w:rFonts w:ascii="Cambria Math" w:hAnsi="Cambria Math"/>
                <w:i/>
              </w:rPr>
            </m:ctrlPr>
          </m:sSubPr>
          <m:e>
            <m:r>
              <w:rPr>
                <w:rFonts w:ascii="Cambria Math" w:hAnsi="Cambria Math"/>
              </w:rPr>
              <m:t>M</m:t>
            </m:r>
          </m:e>
          <m:sub>
            <m:r>
              <w:rPr>
                <w:rFonts w:ascii="Cambria Math" w:hAnsi="Cambria Math"/>
              </w:rPr>
              <m:t>SX,ad</m:t>
            </m:r>
          </m:sub>
        </m:sSub>
        <m:d>
          <m:dPr>
            <m:ctrlPr>
              <w:rPr>
                <w:rFonts w:ascii="Cambria Math" w:hAnsi="Cambria Math"/>
                <w:i/>
              </w:rPr>
            </m:ctrlPr>
          </m:dPr>
          <m:e>
            <m:r>
              <w:rPr>
                <w:rFonts w:ascii="Cambria Math" w:hAnsi="Cambria Math"/>
              </w:rPr>
              <m:t>tb</m:t>
            </m:r>
          </m:e>
        </m:d>
        <m:r>
          <w:rPr>
            <w:rFonts w:ascii="Cambria Math" w:hAnsi="Cambria Math"/>
          </w:rPr>
          <m:t xml:space="preserve">= </m:t>
        </m:r>
        <m:sSup>
          <m:sSupPr>
            <m:ctrlPr>
              <w:rPr>
                <w:rFonts w:ascii="Cambria Math" w:hAnsi="Cambria Math"/>
                <w:i/>
              </w:rPr>
            </m:ctrlPr>
          </m:sSupPr>
          <m:e>
            <m:r>
              <w:rPr>
                <w:rFonts w:ascii="Cambria Math" w:hAnsi="Cambria Math"/>
              </w:rPr>
              <m:t>10</m:t>
            </m:r>
          </m:e>
          <m:sup>
            <m:r>
              <w:rPr>
                <w:rFonts w:ascii="Cambria Math" w:hAnsi="Cambria Math"/>
              </w:rPr>
              <m:t>-6</m:t>
            </m:r>
          </m:sup>
        </m:sSup>
        <m:d>
          <m:dPr>
            <m:begChr m:val="["/>
            <m:endChr m:val="]"/>
            <m:ctrlPr>
              <w:rPr>
                <w:rFonts w:ascii="Cambria Math" w:hAnsi="Cambria Math"/>
                <w:i/>
              </w:rPr>
            </m:ctrlPr>
          </m:dPr>
          <m:e>
            <m:nary>
              <m:naryPr>
                <m:limLoc m:val="subSup"/>
                <m:ctrlPr>
                  <w:rPr>
                    <w:rFonts w:ascii="Cambria Math" w:hAnsi="Cambria Math"/>
                    <w:i/>
                  </w:rPr>
                </m:ctrlPr>
              </m:naryPr>
              <m:sub>
                <m:r>
                  <w:rPr>
                    <w:rFonts w:ascii="Cambria Math" w:hAnsi="Cambria Math"/>
                  </w:rPr>
                  <m:t>0</m:t>
                </m:r>
              </m:sub>
              <m:sup>
                <m:r>
                  <w:rPr>
                    <w:rFonts w:ascii="Cambria Math" w:hAnsi="Cambria Math"/>
                  </w:rPr>
                  <m:t>tb</m:t>
                </m:r>
              </m:sup>
              <m:e>
                <m:sSub>
                  <m:sSubPr>
                    <m:ctrlPr>
                      <w:rPr>
                        <w:rFonts w:ascii="Cambria Math" w:hAnsi="Cambria Math"/>
                        <w:i/>
                      </w:rPr>
                    </m:ctrlPr>
                  </m:sSubPr>
                  <m:e>
                    <m:r>
                      <w:rPr>
                        <w:rFonts w:ascii="Cambria Math" w:hAnsi="Cambria Math"/>
                      </w:rPr>
                      <m:t>C</m:t>
                    </m:r>
                  </m:e>
                  <m:sub>
                    <m:r>
                      <w:rPr>
                        <w:rFonts w:ascii="Cambria Math" w:hAnsi="Cambria Math"/>
                      </w:rPr>
                      <m:t>SX,in</m:t>
                    </m:r>
                  </m:sub>
                </m:sSub>
                <m:d>
                  <m:dPr>
                    <m:ctrlPr>
                      <w:rPr>
                        <w:rFonts w:ascii="Cambria Math" w:hAnsi="Cambria Math"/>
                        <w:i/>
                      </w:rPr>
                    </m:ctrlPr>
                  </m:dPr>
                  <m:e>
                    <m:r>
                      <w:rPr>
                        <w:rFonts w:ascii="Cambria Math" w:hAnsi="Cambria Math"/>
                      </w:rPr>
                      <m:t>t</m:t>
                    </m:r>
                  </m:e>
                </m:d>
                <m:r>
                  <w:rPr>
                    <w:rFonts w:ascii="Cambria Math" w:hAnsi="Cambria Math"/>
                  </w:rPr>
                  <m:t>*V</m:t>
                </m:r>
                <m:d>
                  <m:dPr>
                    <m:ctrlPr>
                      <w:rPr>
                        <w:rFonts w:ascii="Cambria Math" w:hAnsi="Cambria Math"/>
                        <w:i/>
                      </w:rPr>
                    </m:ctrlPr>
                  </m:dPr>
                  <m:e>
                    <m:r>
                      <w:rPr>
                        <w:rFonts w:ascii="Cambria Math" w:hAnsi="Cambria Math"/>
                      </w:rPr>
                      <m:t>t</m:t>
                    </m:r>
                  </m:e>
                </m:d>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sSub>
                  <m:sSubPr>
                    <m:ctrlPr>
                      <w:rPr>
                        <w:rFonts w:ascii="Cambria Math" w:hAnsi="Cambria Math"/>
                        <w:i/>
                      </w:rPr>
                    </m:ctrlPr>
                  </m:sSubPr>
                  <m:e>
                    <m:r>
                      <w:rPr>
                        <w:rFonts w:ascii="Cambria Math" w:hAnsi="Cambria Math"/>
                      </w:rPr>
                      <m:t>C</m:t>
                    </m:r>
                  </m:e>
                  <m:sub>
                    <m:r>
                      <w:rPr>
                        <w:rFonts w:ascii="Cambria Math" w:hAnsi="Cambria Math"/>
                      </w:rPr>
                      <m:t>SX, out</m:t>
                    </m:r>
                  </m:sub>
                </m:sSub>
                <m:d>
                  <m:dPr>
                    <m:ctrlPr>
                      <w:rPr>
                        <w:rFonts w:ascii="Cambria Math" w:hAnsi="Cambria Math"/>
                        <w:i/>
                      </w:rPr>
                    </m:ctrlPr>
                  </m:dPr>
                  <m:e>
                    <m:r>
                      <w:rPr>
                        <w:rFonts w:ascii="Cambria Math" w:hAnsi="Cambria Math"/>
                      </w:rPr>
                      <m:t>t</m:t>
                    </m:r>
                  </m:e>
                </m:d>
                <m:r>
                  <w:rPr>
                    <w:rFonts w:ascii="Cambria Math" w:hAnsi="Cambria Math"/>
                  </w:rPr>
                  <m:t>*V</m:t>
                </m:r>
                <m:d>
                  <m:dPr>
                    <m:ctrlPr>
                      <w:rPr>
                        <w:rFonts w:ascii="Cambria Math" w:hAnsi="Cambria Math"/>
                        <w:i/>
                      </w:rPr>
                    </m:ctrlPr>
                  </m:dPr>
                  <m:e>
                    <m:r>
                      <w:rPr>
                        <w:rFonts w:ascii="Cambria Math" w:hAnsi="Cambria Math"/>
                      </w:rPr>
                      <m:t>t</m:t>
                    </m:r>
                  </m:e>
                </m:d>
                <m:r>
                  <w:rPr>
                    <w:rFonts w:ascii="Cambria Math" w:hAnsi="Cambria Math"/>
                  </w:rPr>
                  <m:t>dt</m:t>
                </m:r>
              </m:e>
            </m:nary>
          </m:e>
        </m:d>
      </m:oMath>
      <w:r w:rsidR="00E05208">
        <w:tab/>
      </w:r>
      <w:r w:rsidR="00E05208">
        <w:tab/>
      </w:r>
      <w:r w:rsidR="00E05208">
        <w:tab/>
        <w:t>(3)</w:t>
      </w:r>
    </w:p>
    <w:p w:rsidR="007551D1" w:rsidRPr="00C05173" w:rsidRDefault="00321022" w:rsidP="00EF6AF0">
      <w:pPr>
        <w:spacing w:before="0"/>
      </w:pPr>
      <w:proofErr w:type="gramStart"/>
      <w:r w:rsidRPr="00C05173">
        <w:t>where</w:t>
      </w:r>
      <w:proofErr w:type="gramEnd"/>
      <w:r w:rsidRPr="00C05173">
        <w:t xml:space="preserve"> </w:t>
      </w:r>
      <w:proofErr w:type="spellStart"/>
      <w:r w:rsidRPr="00C05173">
        <w:t>M</w:t>
      </w:r>
      <w:r w:rsidRPr="00C05173">
        <w:rPr>
          <w:vertAlign w:val="subscript"/>
        </w:rPr>
        <w:t>SX,in</w:t>
      </w:r>
      <w:proofErr w:type="spellEnd"/>
      <w:r w:rsidRPr="00C05173">
        <w:t xml:space="preserve">(t) and </w:t>
      </w:r>
      <w:proofErr w:type="spellStart"/>
      <w:r w:rsidRPr="00C05173">
        <w:t>M</w:t>
      </w:r>
      <w:r w:rsidRPr="00C05173">
        <w:rPr>
          <w:vertAlign w:val="subscript"/>
        </w:rPr>
        <w:t>SX,out</w:t>
      </w:r>
      <w:proofErr w:type="spellEnd"/>
      <w:r w:rsidRPr="00C05173">
        <w:t xml:space="preserve">(t) are cumulative masses of siloxane in kg having entered and exited the contactor at time t and </w:t>
      </w:r>
      <w:proofErr w:type="spellStart"/>
      <w:r w:rsidRPr="00C05173">
        <w:t>C</w:t>
      </w:r>
      <w:r w:rsidRPr="00C05173">
        <w:rPr>
          <w:vertAlign w:val="subscript"/>
        </w:rPr>
        <w:t>SX,in</w:t>
      </w:r>
      <w:proofErr w:type="spellEnd"/>
      <w:r w:rsidRPr="00C05173">
        <w:t xml:space="preserve">(t) and </w:t>
      </w:r>
      <w:proofErr w:type="spellStart"/>
      <w:r w:rsidRPr="00C05173">
        <w:t>C</w:t>
      </w:r>
      <w:r w:rsidRPr="00C05173">
        <w:rPr>
          <w:vertAlign w:val="subscript"/>
        </w:rPr>
        <w:t>SX,out</w:t>
      </w:r>
      <w:proofErr w:type="spellEnd"/>
      <w:r w:rsidRPr="00C05173">
        <w:t xml:space="preserve">(t) are the inlet and outlet </w:t>
      </w:r>
      <w:r w:rsidRPr="00C05173">
        <w:lastRenderedPageBreak/>
        <w:t>concentrations of siloxane in mg</w:t>
      </w:r>
      <w:r w:rsidR="001A6C15">
        <w:t xml:space="preserve"> </w:t>
      </w:r>
      <w:r w:rsidRPr="00C05173">
        <w:t>m</w:t>
      </w:r>
      <w:r w:rsidR="001A6C15" w:rsidRPr="001A6C15">
        <w:rPr>
          <w:vertAlign w:val="superscript"/>
        </w:rPr>
        <w:t>-</w:t>
      </w:r>
      <w:r w:rsidRPr="00C05173">
        <w:rPr>
          <w:vertAlign w:val="superscript"/>
        </w:rPr>
        <w:t>3</w:t>
      </w:r>
      <w:r w:rsidRPr="00C05173">
        <w:t xml:space="preserve"> at time t.</w:t>
      </w:r>
      <w:r w:rsidR="00BD32E3" w:rsidRPr="00C05173">
        <w:t xml:space="preserve"> </w:t>
      </w:r>
      <w:r w:rsidR="00880A08" w:rsidRPr="00C05173">
        <w:t>The h</w:t>
      </w:r>
      <w:r w:rsidR="004B0F9D" w:rsidRPr="00C05173">
        <w:t>eight of the mass transfer zone (MTZ) in the contactors was also calcula</w:t>
      </w:r>
      <w:r w:rsidR="00880A08" w:rsidRPr="00C05173">
        <w:t>ted from the breakthrough curve: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4"/>
        <w:gridCol w:w="978"/>
      </w:tblGrid>
      <w:tr w:rsidR="00795F33" w:rsidRPr="00BD32E3" w:rsidTr="00795F33">
        <w:tc>
          <w:tcPr>
            <w:tcW w:w="4471" w:type="pct"/>
            <w:vAlign w:val="center"/>
          </w:tcPr>
          <w:p w:rsidR="00795F33" w:rsidRPr="00C05173" w:rsidRDefault="00266656" w:rsidP="00EF6AF0">
            <w:pPr>
              <w:spacing w:before="0"/>
              <w:jc w:val="left"/>
            </w:pPr>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MTZ</m:t>
                    </m:r>
                  </m:sub>
                </m:sSub>
                <m:r>
                  <w:rPr>
                    <w:rFonts w:ascii="Cambria Math" w:hAnsi="Cambria Math"/>
                  </w:rPr>
                  <m:t>=Z</m:t>
                </m:r>
                <m:d>
                  <m:dPr>
                    <m:ctrlPr>
                      <w:rPr>
                        <w:rFonts w:ascii="Cambria Math" w:hAnsi="Cambria Math"/>
                        <w:i/>
                      </w:rPr>
                    </m:ctrlPr>
                  </m:dPr>
                  <m:e>
                    <m:f>
                      <m:fPr>
                        <m:ctrlPr>
                          <w:rPr>
                            <w:rFonts w:ascii="Cambria Math" w:hAnsi="Cambria Math"/>
                            <w:i/>
                          </w:rPr>
                        </m:ctrlPr>
                      </m:fPr>
                      <m:num>
                        <m:r>
                          <w:rPr>
                            <w:rFonts w:ascii="Cambria Math" w:hAnsi="Cambria Math"/>
                          </w:rPr>
                          <m:t>V(te)-V(tb)</m:t>
                        </m:r>
                      </m:num>
                      <m:den>
                        <m:r>
                          <w:rPr>
                            <w:rFonts w:ascii="Cambria Math" w:hAnsi="Cambria Math"/>
                          </w:rPr>
                          <m:t>V(te)-0.5</m:t>
                        </m:r>
                        <m:d>
                          <m:dPr>
                            <m:ctrlPr>
                              <w:rPr>
                                <w:rFonts w:ascii="Cambria Math" w:hAnsi="Cambria Math"/>
                                <w:i/>
                              </w:rPr>
                            </m:ctrlPr>
                          </m:dPr>
                          <m:e>
                            <m:r>
                              <w:rPr>
                                <w:rFonts w:ascii="Cambria Math" w:hAnsi="Cambria Math"/>
                              </w:rPr>
                              <m:t>V(te)-V(tb)</m:t>
                            </m:r>
                          </m:e>
                        </m:d>
                      </m:den>
                    </m:f>
                  </m:e>
                </m:d>
              </m:oMath>
            </m:oMathPara>
          </w:p>
        </w:tc>
        <w:tc>
          <w:tcPr>
            <w:tcW w:w="529" w:type="pct"/>
            <w:vAlign w:val="center"/>
          </w:tcPr>
          <w:p w:rsidR="00795F33" w:rsidRPr="00C05173" w:rsidRDefault="00795F33" w:rsidP="00EF6AF0">
            <w:pPr>
              <w:spacing w:before="0"/>
              <w:jc w:val="right"/>
            </w:pPr>
            <w:r w:rsidRPr="00C05173">
              <w:t>(</w:t>
            </w:r>
            <w:r w:rsidR="001A6C15">
              <w:t>4</w:t>
            </w:r>
            <w:r w:rsidRPr="00C05173">
              <w:t>)</w:t>
            </w:r>
          </w:p>
        </w:tc>
      </w:tr>
    </w:tbl>
    <w:p w:rsidR="00707BEB" w:rsidRPr="00C05173" w:rsidRDefault="00707BEB" w:rsidP="00EF6AF0">
      <w:pPr>
        <w:spacing w:before="0"/>
      </w:pPr>
      <w:proofErr w:type="gramStart"/>
      <w:r w:rsidRPr="00C05173">
        <w:t>where</w:t>
      </w:r>
      <w:proofErr w:type="gramEnd"/>
      <w:r w:rsidRPr="00C05173">
        <w:t xml:space="preserve"> Z i</w:t>
      </w:r>
      <w:r w:rsidR="009479D7" w:rsidRPr="00C05173">
        <w:t>s</w:t>
      </w:r>
      <w:r w:rsidRPr="00C05173">
        <w:t xml:space="preserve"> the height of the contactor in meters</w:t>
      </w:r>
      <w:r w:rsidR="007C1D88" w:rsidRPr="00C05173">
        <w:t xml:space="preserve"> and </w:t>
      </w:r>
      <w:proofErr w:type="spellStart"/>
      <w:r w:rsidR="007C1D88" w:rsidRPr="00C05173">
        <w:t>te</w:t>
      </w:r>
      <w:proofErr w:type="spellEnd"/>
      <w:r w:rsidR="007C1D88" w:rsidRPr="00C05173">
        <w:t xml:space="preserve"> is the time of exhaustion.  </w:t>
      </w:r>
      <w:r w:rsidRPr="00C05173">
        <w:t xml:space="preserve"> </w:t>
      </w:r>
    </w:p>
    <w:p w:rsidR="00885574" w:rsidRPr="00C05173" w:rsidRDefault="00885574" w:rsidP="00880A08">
      <w:pPr>
        <w:spacing w:before="0"/>
      </w:pPr>
    </w:p>
    <w:p w:rsidR="00912ECB" w:rsidRPr="00CA5CDC" w:rsidRDefault="00912ECB" w:rsidP="00880A08">
      <w:pPr>
        <w:pStyle w:val="Heading1"/>
        <w:numPr>
          <w:ilvl w:val="0"/>
          <w:numId w:val="10"/>
        </w:numPr>
        <w:spacing w:after="0" w:line="480" w:lineRule="auto"/>
        <w:ind w:hanging="720"/>
        <w:jc w:val="both"/>
        <w:rPr>
          <w:szCs w:val="24"/>
        </w:rPr>
      </w:pPr>
      <w:bookmarkStart w:id="3" w:name="_Toc345320632"/>
      <w:r w:rsidRPr="00CA5CDC">
        <w:rPr>
          <w:szCs w:val="24"/>
        </w:rPr>
        <w:t>Results</w:t>
      </w:r>
      <w:bookmarkEnd w:id="3"/>
    </w:p>
    <w:p w:rsidR="00912ECB" w:rsidRPr="00CA5CDC" w:rsidRDefault="005D38AC" w:rsidP="00CA5CDC">
      <w:pPr>
        <w:pStyle w:val="Heading2"/>
        <w:numPr>
          <w:ilvl w:val="1"/>
          <w:numId w:val="10"/>
        </w:numPr>
        <w:spacing w:before="0" w:line="480" w:lineRule="auto"/>
        <w:ind w:hanging="720"/>
        <w:rPr>
          <w:b w:val="0"/>
          <w:i/>
          <w:sz w:val="24"/>
          <w:szCs w:val="24"/>
        </w:rPr>
      </w:pPr>
      <w:r>
        <w:rPr>
          <w:b w:val="0"/>
          <w:i/>
          <w:sz w:val="24"/>
          <w:szCs w:val="24"/>
        </w:rPr>
        <w:t>Evaluation of s</w:t>
      </w:r>
      <w:r w:rsidR="00F91361">
        <w:rPr>
          <w:b w:val="0"/>
          <w:i/>
          <w:sz w:val="24"/>
          <w:szCs w:val="24"/>
        </w:rPr>
        <w:t xml:space="preserve">iloxane </w:t>
      </w:r>
      <w:r>
        <w:rPr>
          <w:b w:val="0"/>
          <w:i/>
          <w:sz w:val="24"/>
          <w:szCs w:val="24"/>
        </w:rPr>
        <w:t>concentration in the treated biogas</w:t>
      </w:r>
      <w:r w:rsidR="00CA5CDC" w:rsidRPr="00CA5CDC">
        <w:rPr>
          <w:b w:val="0"/>
          <w:i/>
          <w:sz w:val="24"/>
          <w:szCs w:val="24"/>
        </w:rPr>
        <w:t xml:space="preserve"> </w:t>
      </w:r>
    </w:p>
    <w:p w:rsidR="00CF6522" w:rsidRDefault="000111D6" w:rsidP="00CA5CDC">
      <w:pPr>
        <w:spacing w:before="0"/>
      </w:pPr>
      <w:r>
        <w:t>A m</w:t>
      </w:r>
      <w:r w:rsidR="00912ECB" w:rsidRPr="00C05173">
        <w:t xml:space="preserve">edian </w:t>
      </w:r>
      <w:r w:rsidR="00F91361">
        <w:t xml:space="preserve">biogas inlet </w:t>
      </w:r>
      <w:r w:rsidR="00912ECB" w:rsidRPr="00C05173">
        <w:t xml:space="preserve">siloxane concentration </w:t>
      </w:r>
      <w:r w:rsidR="00190C82" w:rsidRPr="00C05173">
        <w:t xml:space="preserve">of </w:t>
      </w:r>
      <w:r w:rsidR="00F91361">
        <w:t>77.3</w:t>
      </w:r>
      <w:r w:rsidR="00190C82" w:rsidRPr="00C05173">
        <w:t xml:space="preserve"> </w:t>
      </w:r>
      <w:r w:rsidR="00912ECB" w:rsidRPr="00C05173">
        <w:t>mg</w:t>
      </w:r>
      <w:r w:rsidR="00190C82" w:rsidRPr="00C05173">
        <w:t xml:space="preserve"> </w:t>
      </w:r>
      <w:r w:rsidR="00912ECB" w:rsidRPr="00C05173">
        <w:t>m</w:t>
      </w:r>
      <w:r w:rsidR="00190C82" w:rsidRPr="00C05173">
        <w:rPr>
          <w:vertAlign w:val="superscript"/>
        </w:rPr>
        <w:t>-</w:t>
      </w:r>
      <w:r w:rsidR="00912ECB" w:rsidRPr="00C05173">
        <w:rPr>
          <w:vertAlign w:val="superscript"/>
        </w:rPr>
        <w:t>3</w:t>
      </w:r>
      <w:r w:rsidR="00912ECB" w:rsidRPr="00C05173">
        <w:t xml:space="preserve"> </w:t>
      </w:r>
      <w:r>
        <w:t>was</w:t>
      </w:r>
      <w:r w:rsidR="00190C82" w:rsidRPr="00C05173">
        <w:t xml:space="preserve"> recorded </w:t>
      </w:r>
      <w:r w:rsidR="00F91361">
        <w:t xml:space="preserve">(Table 3) although the inlet siloxane concentration was </w:t>
      </w:r>
      <w:r w:rsidR="00190C82" w:rsidRPr="00C05173">
        <w:t xml:space="preserve">characterised by sharp </w:t>
      </w:r>
      <w:r w:rsidR="00F91361">
        <w:t xml:space="preserve">fluctuations in concentration (Figure 1) </w:t>
      </w:r>
      <w:r w:rsidR="00A0470E" w:rsidRPr="00C05173">
        <w:t>with a maximum</w:t>
      </w:r>
      <w:r w:rsidR="0057246E" w:rsidRPr="00C05173">
        <w:t xml:space="preserve"> </w:t>
      </w:r>
      <w:r w:rsidR="00F91361">
        <w:t xml:space="preserve">inlet </w:t>
      </w:r>
      <w:r w:rsidR="0057246E" w:rsidRPr="00C05173">
        <w:t>siloxane</w:t>
      </w:r>
      <w:r w:rsidR="00A0470E" w:rsidRPr="00C05173">
        <w:t xml:space="preserve"> concentration of </w:t>
      </w:r>
      <w:r w:rsidR="00862CC0">
        <w:t>314</w:t>
      </w:r>
      <w:r w:rsidR="00A0470E" w:rsidRPr="00C05173">
        <w:t xml:space="preserve"> mg m</w:t>
      </w:r>
      <w:r w:rsidR="00A0470E" w:rsidRPr="00C05173">
        <w:rPr>
          <w:vertAlign w:val="superscript"/>
        </w:rPr>
        <w:t>-3</w:t>
      </w:r>
      <w:r w:rsidR="00F91361">
        <w:t xml:space="preserve"> noted. Whilst siloxane concentration in the feed gas presented significant instability, a consistent outlet concentration was maintained in the early stages of the media exhaustion cycle (Figure 1). </w:t>
      </w:r>
      <w:r w:rsidR="009940B5">
        <w:t>The siloxane concentration</w:t>
      </w:r>
      <w:r w:rsidR="00D84BEA">
        <w:t xml:space="preserve"> in the GAC treated biogas</w:t>
      </w:r>
      <w:r w:rsidR="009940B5">
        <w:t xml:space="preserve"> </w:t>
      </w:r>
      <w:r w:rsidR="00D84BEA">
        <w:t xml:space="preserve">(or leakage concentration) </w:t>
      </w:r>
      <w:r w:rsidR="009940B5">
        <w:t>corresponding to th</w:t>
      </w:r>
      <w:r w:rsidR="00D84BEA">
        <w:t xml:space="preserve">e early </w:t>
      </w:r>
      <w:r w:rsidR="009940B5">
        <w:t>period</w:t>
      </w:r>
      <w:r w:rsidR="00D84BEA">
        <w:t xml:space="preserve"> of the exhaustion cycle</w:t>
      </w:r>
      <w:r w:rsidR="009940B5">
        <w:t xml:space="preserve"> was between 7 mg m</w:t>
      </w:r>
      <w:r w:rsidR="009940B5" w:rsidRPr="009940B5">
        <w:rPr>
          <w:vertAlign w:val="superscript"/>
        </w:rPr>
        <w:t>-3</w:t>
      </w:r>
      <w:r w:rsidR="009940B5">
        <w:t xml:space="preserve"> (the limit of detection</w:t>
      </w:r>
      <w:r w:rsidR="00C57B3B">
        <w:t xml:space="preserve"> (LOD)</w:t>
      </w:r>
      <w:r w:rsidR="009940B5">
        <w:t xml:space="preserve"> for the FTIR) and 8.9 mg m</w:t>
      </w:r>
      <w:r w:rsidR="009940B5" w:rsidRPr="009940B5">
        <w:rPr>
          <w:vertAlign w:val="superscript"/>
        </w:rPr>
        <w:t>-3</w:t>
      </w:r>
      <w:r w:rsidR="009940B5">
        <w:t xml:space="preserve"> f</w:t>
      </w:r>
      <w:r w:rsidR="00F91361">
        <w:t xml:space="preserve">or all five </w:t>
      </w:r>
      <w:r w:rsidR="009940B5">
        <w:t xml:space="preserve">full scale </w:t>
      </w:r>
      <w:r w:rsidR="00F91361">
        <w:t>GAC contactors</w:t>
      </w:r>
      <w:r w:rsidR="009940B5">
        <w:t xml:space="preserve"> studied</w:t>
      </w:r>
      <w:r w:rsidR="00D84BEA">
        <w:t>,</w:t>
      </w:r>
      <w:r w:rsidR="009940B5">
        <w:t xml:space="preserve"> which is below the siloxane limits proposed by several CHP engine manufacturers (Table 1).</w:t>
      </w:r>
      <w:r w:rsidR="00BB3333">
        <w:t xml:space="preserve"> During this period, mean removal efficiency for all five GAC contactors was between 84.6% and 98.8%. </w:t>
      </w:r>
      <w:r w:rsidR="00D84BEA">
        <w:t xml:space="preserve">However, in the latter stages of the exhaustion cycle, siloxane concentration increased in the treated biogas and the proposed siloxane limit was exceeded before the GAC contactors were stopped for </w:t>
      </w:r>
      <w:r w:rsidR="00CF6522">
        <w:t>media replacement.</w:t>
      </w:r>
    </w:p>
    <w:p w:rsidR="005D38AC" w:rsidRDefault="00CF6522" w:rsidP="00CF6522">
      <w:pPr>
        <w:spacing w:before="0"/>
        <w:ind w:firstLine="720"/>
      </w:pPr>
      <w:r>
        <w:lastRenderedPageBreak/>
        <w:t xml:space="preserve">Whilst the early stage of the exhaustion cycle is characterised by a period of steady state operation and the treated biogas is below the proposed siloxane limits, statistical analysis of several consecutive exhaustion cycles (defined as operation between media exchange) of one of the GAC contactors (GAC1) illustrates that these limits </w:t>
      </w:r>
      <w:r w:rsidR="00D0086D" w:rsidRPr="000215B6">
        <w:t xml:space="preserve">of </w:t>
      </w:r>
      <w:r w:rsidR="004E3FC3" w:rsidRPr="000215B6">
        <w:t>12</w:t>
      </w:r>
      <w:r w:rsidR="00D0086D" w:rsidRPr="000215B6">
        <w:t xml:space="preserve"> and </w:t>
      </w:r>
      <w:r w:rsidR="004E3FC3" w:rsidRPr="000215B6">
        <w:t>30</w:t>
      </w:r>
      <w:r w:rsidR="00D0086D" w:rsidRPr="000215B6">
        <w:t xml:space="preserve"> mg m</w:t>
      </w:r>
      <w:r w:rsidR="00D0086D" w:rsidRPr="000215B6">
        <w:rPr>
          <w:vertAlign w:val="superscript"/>
        </w:rPr>
        <w:t>-3</w:t>
      </w:r>
      <w:r w:rsidR="00EF3A2A">
        <w:t xml:space="preserve"> </w:t>
      </w:r>
      <w:r>
        <w:t>are</w:t>
      </w:r>
      <w:r w:rsidR="00EF3A2A">
        <w:t xml:space="preserve"> met in</w:t>
      </w:r>
      <w:r>
        <w:t xml:space="preserve"> only</w:t>
      </w:r>
      <w:r w:rsidR="00EF3A2A">
        <w:t xml:space="preserve"> </w:t>
      </w:r>
      <w:r>
        <w:t>5</w:t>
      </w:r>
      <w:r w:rsidR="006B4C5B">
        <w:t xml:space="preserve">0% and </w:t>
      </w:r>
      <w:r>
        <w:t>74</w:t>
      </w:r>
      <w:r w:rsidR="00D0086D" w:rsidRPr="000215B6">
        <w:t>% of samples</w:t>
      </w:r>
      <w:r>
        <w:t xml:space="preserve"> analysed over the full exhaustion cycle up to conta</w:t>
      </w:r>
      <w:r w:rsidR="0057246E" w:rsidRPr="00C05173">
        <w:t>ctor media exchange</w:t>
      </w:r>
      <w:r w:rsidR="0039671D">
        <w:t xml:space="preserve"> </w:t>
      </w:r>
      <w:r>
        <w:t xml:space="preserve">(Figure </w:t>
      </w:r>
      <w:r w:rsidR="00BB3333">
        <w:t>2</w:t>
      </w:r>
      <w:r>
        <w:t>)</w:t>
      </w:r>
      <w:r w:rsidR="00D0086D" w:rsidRPr="00C05173">
        <w:t xml:space="preserve">. </w:t>
      </w:r>
      <w:r w:rsidR="00BB3333">
        <w:t>Treated biogas siloxanes concentrations from a</w:t>
      </w:r>
      <w:r w:rsidR="00D0086D" w:rsidRPr="00C05173">
        <w:t>ll five GAC contactors w</w:t>
      </w:r>
      <w:r w:rsidR="00BB3333">
        <w:t>as</w:t>
      </w:r>
      <w:r w:rsidR="00D0086D" w:rsidRPr="00C05173">
        <w:t xml:space="preserve"> subsequently compared </w:t>
      </w:r>
      <w:r w:rsidR="00BB3333">
        <w:t xml:space="preserve">using data collected </w:t>
      </w:r>
      <w:r w:rsidR="0057246E" w:rsidRPr="00C05173">
        <w:t xml:space="preserve">during </w:t>
      </w:r>
      <w:r w:rsidR="00BB3333">
        <w:t>simultaneous contactor operation in th</w:t>
      </w:r>
      <w:r w:rsidR="0057246E" w:rsidRPr="00C05173">
        <w:t xml:space="preserve">e same </w:t>
      </w:r>
      <w:r w:rsidR="00BB3333">
        <w:t xml:space="preserve">media </w:t>
      </w:r>
      <w:r w:rsidR="0057246E" w:rsidRPr="00C05173">
        <w:t>exhaustion</w:t>
      </w:r>
      <w:r w:rsidR="00BB3333">
        <w:t xml:space="preserve"> cycle</w:t>
      </w:r>
      <w:r w:rsidR="0057246E" w:rsidRPr="00C05173">
        <w:t xml:space="preserve"> </w:t>
      </w:r>
      <w:r w:rsidR="00BB3333">
        <w:t>(Figure 3). Sample conformity of 5</w:t>
      </w:r>
      <w:r w:rsidR="007D3BDA">
        <w:t>2</w:t>
      </w:r>
      <w:r w:rsidR="00BB3333">
        <w:t xml:space="preserve">% and </w:t>
      </w:r>
      <w:r w:rsidR="00BB3333" w:rsidRPr="00176570">
        <w:t>9</w:t>
      </w:r>
      <w:r w:rsidR="007D3BDA">
        <w:t>2</w:t>
      </w:r>
      <w:r w:rsidR="00BB3333" w:rsidRPr="00176570">
        <w:t>%</w:t>
      </w:r>
      <w:r w:rsidR="00BB3333">
        <w:t xml:space="preserve"> were recorded for the proposed limits of </w:t>
      </w:r>
      <w:r w:rsidR="00BB3333" w:rsidRPr="000215B6">
        <w:t>12 and 30 mg m</w:t>
      </w:r>
      <w:r w:rsidR="00BB3333" w:rsidRPr="000215B6">
        <w:rPr>
          <w:vertAlign w:val="superscript"/>
        </w:rPr>
        <w:t>-3</w:t>
      </w:r>
      <w:r w:rsidR="005D38AC">
        <w:t>. However, in this single cycle comparison, the lower limit of 12 mg m</w:t>
      </w:r>
      <w:r w:rsidR="005D38AC" w:rsidRPr="005D38AC">
        <w:rPr>
          <w:vertAlign w:val="superscript"/>
        </w:rPr>
        <w:t>-3</w:t>
      </w:r>
      <w:r w:rsidR="005D38AC">
        <w:t xml:space="preserve"> was met in &gt;8</w:t>
      </w:r>
      <w:r w:rsidR="007D3BDA">
        <w:t>2</w:t>
      </w:r>
      <w:r w:rsidR="005D38AC">
        <w:t xml:space="preserve">% of samples in the breakthrough cycle from all contactors except GAC5. </w:t>
      </w:r>
    </w:p>
    <w:p w:rsidR="00CA5CDC" w:rsidRPr="00C05173" w:rsidRDefault="00CA5CDC" w:rsidP="00CA5CDC">
      <w:pPr>
        <w:spacing w:before="0"/>
      </w:pPr>
    </w:p>
    <w:p w:rsidR="00CA5CDC" w:rsidRPr="00CA5CDC" w:rsidRDefault="00CA5CDC" w:rsidP="00CA5CDC">
      <w:pPr>
        <w:pStyle w:val="Heading2"/>
        <w:numPr>
          <w:ilvl w:val="1"/>
          <w:numId w:val="10"/>
        </w:numPr>
        <w:spacing w:before="0" w:line="480" w:lineRule="auto"/>
        <w:ind w:hanging="720"/>
        <w:rPr>
          <w:b w:val="0"/>
          <w:i/>
          <w:sz w:val="24"/>
          <w:szCs w:val="24"/>
        </w:rPr>
      </w:pPr>
      <w:bookmarkStart w:id="4" w:name="_Toc345320635"/>
      <w:r w:rsidRPr="00CA5CDC">
        <w:rPr>
          <w:b w:val="0"/>
          <w:i/>
          <w:sz w:val="24"/>
          <w:szCs w:val="24"/>
        </w:rPr>
        <w:t xml:space="preserve">Analysis of </w:t>
      </w:r>
      <w:r w:rsidR="005D38AC">
        <w:rPr>
          <w:b w:val="0"/>
          <w:i/>
          <w:sz w:val="24"/>
          <w:szCs w:val="24"/>
        </w:rPr>
        <w:t xml:space="preserve">siloxane uptake in the </w:t>
      </w:r>
      <w:r w:rsidR="000478B1">
        <w:rPr>
          <w:b w:val="0"/>
          <w:i/>
          <w:sz w:val="24"/>
          <w:szCs w:val="24"/>
        </w:rPr>
        <w:t xml:space="preserve">GAC </w:t>
      </w:r>
      <w:r w:rsidRPr="00CA5CDC">
        <w:rPr>
          <w:b w:val="0"/>
          <w:i/>
          <w:sz w:val="24"/>
          <w:szCs w:val="24"/>
        </w:rPr>
        <w:t>contactor</w:t>
      </w:r>
      <w:r w:rsidR="005D38AC">
        <w:rPr>
          <w:b w:val="0"/>
          <w:i/>
          <w:sz w:val="24"/>
          <w:szCs w:val="24"/>
        </w:rPr>
        <w:t>s</w:t>
      </w:r>
      <w:bookmarkEnd w:id="4"/>
    </w:p>
    <w:p w:rsidR="000955B3" w:rsidRDefault="000955B3" w:rsidP="00494B83">
      <w:pPr>
        <w:spacing w:before="0"/>
      </w:pPr>
      <w:r>
        <w:t>B</w:t>
      </w:r>
      <w:r w:rsidR="00494B83" w:rsidRPr="00C05173">
        <w:t>reakthrough</w:t>
      </w:r>
      <w:r>
        <w:t xml:space="preserve"> was identified for four of the five GAC contactors following analysis of the exhaustion cycle data which was </w:t>
      </w:r>
      <w:r w:rsidRPr="00C05173">
        <w:t>defined as the time at which the outlet siloxane concentration exceeded 3</w:t>
      </w:r>
      <w:r>
        <w:t>0</w:t>
      </w:r>
      <w:r w:rsidRPr="00C05173">
        <w:t xml:space="preserve"> mg</w:t>
      </w:r>
      <w:r>
        <w:t xml:space="preserve"> </w:t>
      </w:r>
      <w:r w:rsidRPr="00C05173">
        <w:t>m</w:t>
      </w:r>
      <w:r w:rsidRPr="000C1DD4">
        <w:rPr>
          <w:vertAlign w:val="superscript"/>
        </w:rPr>
        <w:t>-</w:t>
      </w:r>
      <w:r w:rsidRPr="00C05173">
        <w:rPr>
          <w:vertAlign w:val="superscript"/>
        </w:rPr>
        <w:t>3</w:t>
      </w:r>
      <w:r w:rsidRPr="00C05173">
        <w:t xml:space="preserve"> </w:t>
      </w:r>
      <w:r>
        <w:t xml:space="preserve">(Figure 4). Whilst </w:t>
      </w:r>
      <w:r w:rsidR="00631A03">
        <w:t xml:space="preserve">the </w:t>
      </w:r>
      <w:r>
        <w:t xml:space="preserve">comparative </w:t>
      </w:r>
      <w:r w:rsidR="00631A03">
        <w:t xml:space="preserve">GAC contactor </w:t>
      </w:r>
      <w:r>
        <w:t>data</w:t>
      </w:r>
      <w:r w:rsidR="00631A03">
        <w:t xml:space="preserve"> was assimilated from simultaneous exhaustion cycles (indicating that each contactor was subject to the same biogas phase), breakthrough occurred for each contactor following a different number of bed volumes of biogas treated</w:t>
      </w:r>
      <w:r w:rsidR="008660BB">
        <w:t xml:space="preserve"> with GAC 4 breaking through earliest. The breakthrough curves could be differentiated into two shapes, a sharp fronted curve which characterised GAC contactors with early </w:t>
      </w:r>
      <w:r w:rsidR="008660BB">
        <w:lastRenderedPageBreak/>
        <w:t>breakthrough (GAC2 and GAC4) and a broad fronted curve which more adequately described those with longer breakthrough cycles (Figure 4). Over the seven exhaustion cycles monitored, the mean number of bed volumes (</w:t>
      </w:r>
      <w:proofErr w:type="spellStart"/>
      <w:r w:rsidR="008660BB">
        <w:t>Bv</w:t>
      </w:r>
      <w:proofErr w:type="spellEnd"/>
      <w:r w:rsidR="008660BB">
        <w:t xml:space="preserve">) passed before breakthrough ranged 34587 </w:t>
      </w:r>
      <w:proofErr w:type="spellStart"/>
      <w:r w:rsidR="008660BB">
        <w:t>Bv</w:t>
      </w:r>
      <w:proofErr w:type="spellEnd"/>
      <w:r w:rsidR="008660BB">
        <w:t xml:space="preserve"> (GAC4) to 119040 </w:t>
      </w:r>
      <w:proofErr w:type="spellStart"/>
      <w:r w:rsidR="008660BB">
        <w:t>Bv</w:t>
      </w:r>
      <w:proofErr w:type="spellEnd"/>
      <w:r w:rsidR="008660BB">
        <w:t>. This corresponded to m</w:t>
      </w:r>
      <w:r w:rsidR="00631A03" w:rsidRPr="00C05173">
        <w:t xml:space="preserve">ean specific </w:t>
      </w:r>
      <w:r w:rsidR="008660BB">
        <w:t xml:space="preserve">GAC </w:t>
      </w:r>
      <w:r w:rsidR="00631A03" w:rsidRPr="00C05173">
        <w:t xml:space="preserve">media capacities at breakthrough </w:t>
      </w:r>
      <w:r w:rsidR="0056209D">
        <w:t xml:space="preserve">ranging </w:t>
      </w:r>
      <w:r w:rsidR="00631A03" w:rsidRPr="009E6150">
        <w:t>between 8.5</w:t>
      </w:r>
      <w:r w:rsidR="00D81F8E">
        <w:t xml:space="preserve"> (GAC4)</w:t>
      </w:r>
      <w:r w:rsidR="00631A03" w:rsidRPr="009E6150">
        <w:t xml:space="preserve"> and 21.5</w:t>
      </w:r>
      <w:r w:rsidR="00631A03" w:rsidRPr="00C05173">
        <w:t xml:space="preserve"> </w:t>
      </w:r>
      <w:proofErr w:type="spellStart"/>
      <w:r w:rsidR="00631A03" w:rsidRPr="00C05173">
        <w:t>g</w:t>
      </w:r>
      <w:r w:rsidR="00631A03" w:rsidRPr="00494B83">
        <w:rPr>
          <w:vertAlign w:val="subscript"/>
        </w:rPr>
        <w:t>siloxane</w:t>
      </w:r>
      <w:proofErr w:type="spellEnd"/>
      <w:r w:rsidR="00631A03" w:rsidRPr="00C05173">
        <w:t xml:space="preserve"> kg</w:t>
      </w:r>
      <w:r w:rsidR="00631A03" w:rsidRPr="00494B83">
        <w:rPr>
          <w:vertAlign w:val="subscript"/>
        </w:rPr>
        <w:t>GAC</w:t>
      </w:r>
      <w:r w:rsidR="00631A03" w:rsidRPr="00494B83">
        <w:rPr>
          <w:vertAlign w:val="superscript"/>
        </w:rPr>
        <w:t>-1</w:t>
      </w:r>
      <w:r w:rsidR="00631A03" w:rsidRPr="00C05173">
        <w:t xml:space="preserve"> </w:t>
      </w:r>
      <w:r w:rsidR="00D81F8E">
        <w:t>(GAC1)</w:t>
      </w:r>
      <w:r w:rsidR="00631A03" w:rsidRPr="00C05173">
        <w:t>.</w:t>
      </w:r>
      <w:r w:rsidR="00D81F8E">
        <w:t xml:space="preserve"> </w:t>
      </w:r>
      <w:r w:rsidR="00C10CDC">
        <w:t xml:space="preserve">Exhausted media was collected from GAC1 and GAC4 after the contactors were shut down at the end of an exhaustion cycle for media exchange. The exhausted media were radially cross sectioned to semi-quantitatively evaluate Si media uptake and indicated that media collected from GAC1 comprised higher </w:t>
      </w:r>
      <w:r w:rsidR="00573C09">
        <w:t xml:space="preserve">Si content than that sampled from GAC4 </w:t>
      </w:r>
      <w:r w:rsidR="00C10CDC">
        <w:t>(Figure5).</w:t>
      </w:r>
    </w:p>
    <w:p w:rsidR="004C4B9F" w:rsidRDefault="004C4B9F" w:rsidP="00830D9A">
      <w:pPr>
        <w:spacing w:before="0"/>
      </w:pPr>
      <w:r>
        <w:tab/>
      </w:r>
      <w:r w:rsidR="00943A8D">
        <w:t xml:space="preserve">Onsite biogas samples were </w:t>
      </w:r>
      <w:r w:rsidR="0056209D">
        <w:t xml:space="preserve">collected for wider speciation of trace biogas </w:t>
      </w:r>
      <w:r w:rsidR="00813472">
        <w:t>components</w:t>
      </w:r>
      <w:r w:rsidR="0056209D">
        <w:t xml:space="preserve"> (Table </w:t>
      </w:r>
      <w:r w:rsidR="00813472">
        <w:t>5).</w:t>
      </w:r>
      <w:r w:rsidR="00943A8D">
        <w:t xml:space="preserve"> </w:t>
      </w:r>
      <w:r w:rsidR="00813472">
        <w:t>Biogas sampled upstream comprised cyclic siloxanes D4 and D5 and also notable concentrations of both alkanes (</w:t>
      </w:r>
      <w:proofErr w:type="spellStart"/>
      <w:r w:rsidR="00813472">
        <w:t>nonane</w:t>
      </w:r>
      <w:proofErr w:type="spellEnd"/>
      <w:r w:rsidR="00813472">
        <w:t xml:space="preserve">, </w:t>
      </w:r>
      <w:proofErr w:type="spellStart"/>
      <w:r w:rsidR="00813472">
        <w:t>decane</w:t>
      </w:r>
      <w:proofErr w:type="spellEnd"/>
      <w:r w:rsidR="00813472">
        <w:t xml:space="preserve">) and aromatics (toluene, ethyl benzene, </w:t>
      </w:r>
      <w:proofErr w:type="spellStart"/>
      <w:r w:rsidR="00813472">
        <w:t>o</w:t>
      </w:r>
      <w:proofErr w:type="gramStart"/>
      <w:r w:rsidR="00813472">
        <w:t>,m,p</w:t>
      </w:r>
      <w:proofErr w:type="spellEnd"/>
      <w:proofErr w:type="gramEnd"/>
      <w:r w:rsidR="00813472">
        <w:t xml:space="preserve"> - xylene). Mass </w:t>
      </w:r>
      <w:r w:rsidR="006430B2">
        <w:t>balances across one of the filters indicated considerable co-separation of these trace</w:t>
      </w:r>
      <w:r w:rsidR="00813472">
        <w:t xml:space="preserve"> components with </w:t>
      </w:r>
      <w:r w:rsidR="006430B2">
        <w:t xml:space="preserve">the cyclic </w:t>
      </w:r>
      <w:r w:rsidR="00813472">
        <w:t xml:space="preserve">siloxanes and suggests that siloxanes only </w:t>
      </w:r>
      <w:r w:rsidR="006430B2">
        <w:t xml:space="preserve">represent around 20% (by weight) of the total mass of trace biogas components absorbed during the exhaustion cycle.  </w:t>
      </w:r>
    </w:p>
    <w:p w:rsidR="005D38AC" w:rsidRPr="00C05173" w:rsidRDefault="005D38AC" w:rsidP="00830D9A">
      <w:pPr>
        <w:spacing w:before="0"/>
      </w:pPr>
    </w:p>
    <w:p w:rsidR="00CA5CDC" w:rsidRPr="00C05173" w:rsidRDefault="00CA5CDC" w:rsidP="00830D9A">
      <w:pPr>
        <w:spacing w:before="0"/>
        <w:rPr>
          <w:i/>
        </w:rPr>
      </w:pPr>
      <w:r w:rsidRPr="00C05173">
        <w:rPr>
          <w:i/>
        </w:rPr>
        <w:t>3.3</w:t>
      </w:r>
      <w:r w:rsidRPr="00C05173">
        <w:rPr>
          <w:i/>
        </w:rPr>
        <w:tab/>
        <w:t xml:space="preserve">Analysis of </w:t>
      </w:r>
      <w:r w:rsidR="00494B83">
        <w:rPr>
          <w:i/>
        </w:rPr>
        <w:t xml:space="preserve">GAC </w:t>
      </w:r>
      <w:r w:rsidRPr="00C05173">
        <w:rPr>
          <w:i/>
        </w:rPr>
        <w:t>contactor operational conditions</w:t>
      </w:r>
    </w:p>
    <w:p w:rsidR="00E972B1" w:rsidRDefault="000C2CA7" w:rsidP="00830D9A">
      <w:pPr>
        <w:spacing w:before="0"/>
      </w:pPr>
      <w:r>
        <w:t>Mean total biogas flow rate was 3353 m</w:t>
      </w:r>
      <w:r w:rsidRPr="000C2CA7">
        <w:rPr>
          <w:vertAlign w:val="superscript"/>
        </w:rPr>
        <w:t>3</w:t>
      </w:r>
      <w:r>
        <w:t xml:space="preserve"> h</w:t>
      </w:r>
      <w:r w:rsidRPr="000C2CA7">
        <w:rPr>
          <w:vertAlign w:val="superscript"/>
        </w:rPr>
        <w:t>-1</w:t>
      </w:r>
      <w:r>
        <w:rPr>
          <w:vertAlign w:val="superscript"/>
        </w:rPr>
        <w:t xml:space="preserve"> </w:t>
      </w:r>
      <w:r w:rsidR="00E972B1">
        <w:t xml:space="preserve">and was consistent </w:t>
      </w:r>
      <w:r>
        <w:t xml:space="preserve">during contactor characterisation </w:t>
      </w:r>
      <w:r w:rsidR="00E972B1">
        <w:t>(median 3342 m</w:t>
      </w:r>
      <w:r w:rsidR="00E972B1" w:rsidRPr="00E972B1">
        <w:rPr>
          <w:vertAlign w:val="superscript"/>
        </w:rPr>
        <w:t>3</w:t>
      </w:r>
      <w:r w:rsidR="00E972B1">
        <w:t xml:space="preserve"> h</w:t>
      </w:r>
      <w:r w:rsidR="00E972B1" w:rsidRPr="00E972B1">
        <w:rPr>
          <w:vertAlign w:val="superscript"/>
        </w:rPr>
        <w:t>-1</w:t>
      </w:r>
      <w:r w:rsidR="00E972B1">
        <w:t xml:space="preserve">) </w:t>
      </w:r>
      <w:r>
        <w:t xml:space="preserve">which subsequently provided stable empty bed contact times (EBCT). However, EBCT (defined by contactor length/superficial velocity) </w:t>
      </w:r>
      <w:r>
        <w:lastRenderedPageBreak/>
        <w:t xml:space="preserve">used in each contactor was different and </w:t>
      </w:r>
      <w:r w:rsidR="00F34401">
        <w:t>yielded</w:t>
      </w:r>
      <w:r>
        <w:t xml:space="preserve"> </w:t>
      </w:r>
      <w:r w:rsidR="00F34401">
        <w:t>EBCTs</w:t>
      </w:r>
      <w:r>
        <w:t xml:space="preserve"> rang</w:t>
      </w:r>
      <w:r w:rsidR="00F34401">
        <w:t>ing</w:t>
      </w:r>
      <w:r>
        <w:t xml:space="preserve"> 12s </w:t>
      </w:r>
      <w:r w:rsidR="00F34401">
        <w:t>to</w:t>
      </w:r>
      <w:r>
        <w:t xml:space="preserve"> 57s</w:t>
      </w:r>
      <w:r w:rsidR="00E972B1">
        <w:t xml:space="preserve"> (Table 3)</w:t>
      </w:r>
      <w:r>
        <w:t xml:space="preserve">. </w:t>
      </w:r>
      <w:r w:rsidR="00596D24">
        <w:t>A general positive trend in the number of bed volumes treated before breakthrough (</w:t>
      </w:r>
      <w:proofErr w:type="spellStart"/>
      <w:r w:rsidR="00596D24">
        <w:t>BvBB</w:t>
      </w:r>
      <w:proofErr w:type="spellEnd"/>
      <w:r w:rsidR="00596D24">
        <w:t>) was illustrated when u</w:t>
      </w:r>
      <w:r w:rsidR="00E972B1">
        <w:t>sing EBCT as the dependent variable (Figure 6). The difference in EBCT also provided differences in superficial velocity for each contactor which was evaluated through conversion to the modified Reynolds number (</w:t>
      </w:r>
      <w:r w:rsidR="00E972B1" w:rsidRPr="00E972B1">
        <w:rPr>
          <w:i/>
        </w:rPr>
        <w:t>Re</w:t>
      </w:r>
      <w:r w:rsidR="00E972B1" w:rsidRPr="00E972B1">
        <w:rPr>
          <w:vertAlign w:val="subscript"/>
        </w:rPr>
        <w:t>p</w:t>
      </w:r>
      <w:r w:rsidR="00E972B1">
        <w:t xml:space="preserve">) for packed beds (Figure 7). The general trend </w:t>
      </w:r>
      <w:r w:rsidR="00F34401">
        <w:t xml:space="preserve">indicates that </w:t>
      </w:r>
      <w:r w:rsidR="00E972B1">
        <w:t>an increase in</w:t>
      </w:r>
      <w:r w:rsidR="00F34401">
        <w:t xml:space="preserve"> the number of </w:t>
      </w:r>
      <w:proofErr w:type="spellStart"/>
      <w:r w:rsidR="00F34401">
        <w:t>BvBB</w:t>
      </w:r>
      <w:proofErr w:type="spellEnd"/>
      <w:r w:rsidR="00F34401">
        <w:t xml:space="preserve"> </w:t>
      </w:r>
      <w:r w:rsidR="00596D24">
        <w:t>is</w:t>
      </w:r>
      <w:r w:rsidR="00F34401">
        <w:t xml:space="preserve"> achieved through increasing the </w:t>
      </w:r>
      <w:r w:rsidR="00F34401" w:rsidRPr="00E972B1">
        <w:rPr>
          <w:i/>
        </w:rPr>
        <w:t>Re</w:t>
      </w:r>
      <w:r w:rsidR="00F34401" w:rsidRPr="00E972B1">
        <w:rPr>
          <w:vertAlign w:val="subscript"/>
        </w:rPr>
        <w:t>p</w:t>
      </w:r>
      <w:r w:rsidR="00F34401">
        <w:t xml:space="preserve"> up to a limiting value of between </w:t>
      </w:r>
      <w:r w:rsidR="00F34401" w:rsidRPr="00E972B1">
        <w:rPr>
          <w:i/>
        </w:rPr>
        <w:t>Re</w:t>
      </w:r>
      <w:r w:rsidR="00F34401" w:rsidRPr="00E972B1">
        <w:rPr>
          <w:vertAlign w:val="subscript"/>
        </w:rPr>
        <w:t>p</w:t>
      </w:r>
      <w:r w:rsidR="00F34401">
        <w:t xml:space="preserve"> 81 and 162. </w:t>
      </w:r>
    </w:p>
    <w:p w:rsidR="00596D24" w:rsidRDefault="00596D24" w:rsidP="00885574">
      <w:pPr>
        <w:spacing w:before="0"/>
      </w:pPr>
    </w:p>
    <w:p w:rsidR="00125233" w:rsidRPr="00885574" w:rsidRDefault="00125233" w:rsidP="00885574">
      <w:pPr>
        <w:pStyle w:val="Heading1"/>
        <w:numPr>
          <w:ilvl w:val="0"/>
          <w:numId w:val="10"/>
        </w:numPr>
        <w:spacing w:after="0" w:line="480" w:lineRule="auto"/>
        <w:ind w:hanging="720"/>
        <w:jc w:val="both"/>
      </w:pPr>
      <w:bookmarkStart w:id="5" w:name="_Toc345320639"/>
      <w:r w:rsidRPr="00885574">
        <w:t>Discussion</w:t>
      </w:r>
      <w:bookmarkEnd w:id="5"/>
    </w:p>
    <w:p w:rsidR="009E11C2" w:rsidRDefault="009E11C2" w:rsidP="009E11C2">
      <w:pPr>
        <w:spacing w:before="0"/>
      </w:pPr>
      <w:r>
        <w:t xml:space="preserve">In this study, online FTIR has been used to </w:t>
      </w:r>
      <w:r w:rsidR="00C57B3B">
        <w:t xml:space="preserve">generate the </w:t>
      </w:r>
      <w:r>
        <w:t xml:space="preserve">first comprehensive siloxane breakthrough curves from full scale carbon contactors used for biogas preconditioning. A key finding was that </w:t>
      </w:r>
      <w:r w:rsidR="00C57B3B">
        <w:t>the mean outlet siloxane concentration of &lt;LOD to 8.9 mg m</w:t>
      </w:r>
      <w:r w:rsidR="00C57B3B" w:rsidRPr="009E11C2">
        <w:rPr>
          <w:vertAlign w:val="superscript"/>
        </w:rPr>
        <w:t>-3</w:t>
      </w:r>
      <w:r w:rsidR="00C57B3B">
        <w:rPr>
          <w:vertAlign w:val="superscript"/>
        </w:rPr>
        <w:t xml:space="preserve"> </w:t>
      </w:r>
      <w:r w:rsidR="00C57B3B">
        <w:t xml:space="preserve">determined during the early stages of the exhaustion cycle were consistently below </w:t>
      </w:r>
      <w:r>
        <w:t>the siloxane limits cited in the engine manufacturers warranty specifications (12 to 30 mg m</w:t>
      </w:r>
      <w:r w:rsidRPr="009E11C2">
        <w:rPr>
          <w:vertAlign w:val="superscript"/>
        </w:rPr>
        <w:t>-3</w:t>
      </w:r>
      <w:r>
        <w:t xml:space="preserve">, Table 1). </w:t>
      </w:r>
      <w:r w:rsidR="00C57B3B">
        <w:t xml:space="preserve">However, over </w:t>
      </w:r>
      <w:r>
        <w:t>the full operating cycle (i.e. to media change)</w:t>
      </w:r>
      <w:r w:rsidR="00C57B3B">
        <w:t xml:space="preserve"> only </w:t>
      </w:r>
      <w:r>
        <w:t xml:space="preserve">50% </w:t>
      </w:r>
      <w:r w:rsidR="00C57B3B">
        <w:t>to</w:t>
      </w:r>
      <w:r>
        <w:t xml:space="preserve"> </w:t>
      </w:r>
      <w:r w:rsidR="00C57B3B">
        <w:t>8</w:t>
      </w:r>
      <w:r>
        <w:t xml:space="preserve">0% </w:t>
      </w:r>
      <w:r w:rsidR="00C57B3B">
        <w:t xml:space="preserve">conformity </w:t>
      </w:r>
      <w:r>
        <w:t>was observed</w:t>
      </w:r>
      <w:r w:rsidR="00BC1063">
        <w:t xml:space="preserve"> due to continued contactor operation beyond breakthrough</w:t>
      </w:r>
      <w:r w:rsidR="00C57B3B">
        <w:t>.</w:t>
      </w:r>
      <w:r>
        <w:t xml:space="preserve"> </w:t>
      </w:r>
      <w:r w:rsidR="00E25E99">
        <w:t>Tower</w:t>
      </w:r>
      <w:r w:rsidR="00397709">
        <w:t>s</w:t>
      </w:r>
      <w:r w:rsidR="00E25E99">
        <w:t xml:space="preserve"> and Wetzel (2006) described</w:t>
      </w:r>
      <w:r w:rsidR="00344285">
        <w:t xml:space="preserve"> the economic incentive that siloxane removal provided</w:t>
      </w:r>
      <w:r w:rsidR="00830D9A">
        <w:t xml:space="preserve"> through reducin</w:t>
      </w:r>
      <w:r w:rsidR="009B6838">
        <w:t>g</w:t>
      </w:r>
      <w:r w:rsidR="00830D9A">
        <w:t xml:space="preserve"> SiO</w:t>
      </w:r>
      <w:r w:rsidR="00830D9A" w:rsidRPr="00830D9A">
        <w:rPr>
          <w:vertAlign w:val="subscript"/>
        </w:rPr>
        <w:t>2</w:t>
      </w:r>
      <w:r w:rsidR="00830D9A">
        <w:t xml:space="preserve"> deposition</w:t>
      </w:r>
      <w:r w:rsidR="009B6838">
        <w:t xml:space="preserve"> in the CHP engine</w:t>
      </w:r>
      <w:r w:rsidR="00344285">
        <w:t xml:space="preserve"> but noted that </w:t>
      </w:r>
      <w:r w:rsidR="00830D9A">
        <w:t>SiO</w:t>
      </w:r>
      <w:r w:rsidR="00830D9A" w:rsidRPr="00830D9A">
        <w:rPr>
          <w:vertAlign w:val="subscript"/>
        </w:rPr>
        <w:t>2</w:t>
      </w:r>
      <w:r w:rsidR="00344285">
        <w:t xml:space="preserve"> deposition still occurred</w:t>
      </w:r>
      <w:r w:rsidR="00046E11">
        <w:t xml:space="preserve"> during filter operation albeit at a significantly lower rate. </w:t>
      </w:r>
      <w:r w:rsidR="00830D9A">
        <w:t>In thi</w:t>
      </w:r>
      <w:r>
        <w:t>s study</w:t>
      </w:r>
      <w:r w:rsidR="00830D9A">
        <w:t xml:space="preserve"> it is </w:t>
      </w:r>
      <w:r w:rsidR="00046E11">
        <w:t>suggest</w:t>
      </w:r>
      <w:r w:rsidR="00830D9A">
        <w:t>ed</w:t>
      </w:r>
      <w:r w:rsidR="00046E11">
        <w:t xml:space="preserve"> that </w:t>
      </w:r>
      <w:r w:rsidRPr="00C05173">
        <w:t xml:space="preserve">the primary source of </w:t>
      </w:r>
      <w:r w:rsidR="00830D9A">
        <w:t xml:space="preserve">continued </w:t>
      </w:r>
      <w:r w:rsidRPr="00C05173">
        <w:t>siloxane deposition is not leakage</w:t>
      </w:r>
      <w:r>
        <w:t xml:space="preserve"> during the initial stage of the GAC operational cycle</w:t>
      </w:r>
      <w:r w:rsidRPr="00C05173">
        <w:t xml:space="preserve"> but is </w:t>
      </w:r>
      <w:r w:rsidRPr="00C05173">
        <w:lastRenderedPageBreak/>
        <w:t>instead continuous operation of contactors beyond breakthrough</w:t>
      </w:r>
      <w:r>
        <w:t>. To illustrate, for each mole of D</w:t>
      </w:r>
      <w:r w:rsidRPr="009E11C2">
        <w:rPr>
          <w:vertAlign w:val="subscript"/>
        </w:rPr>
        <w:t>5</w:t>
      </w:r>
      <w:r>
        <w:t xml:space="preserve"> oxidised during combustion five moles of SiO</w:t>
      </w:r>
      <w:r w:rsidRPr="009E11C2">
        <w:rPr>
          <w:vertAlign w:val="subscript"/>
        </w:rPr>
        <w:t>2</w:t>
      </w:r>
      <w:r>
        <w:t xml:space="preserve"> are formed (Equation 1, 0.82 mg</w:t>
      </w:r>
      <w:r w:rsidRPr="009E11C2">
        <w:rPr>
          <w:vertAlign w:val="subscript"/>
        </w:rPr>
        <w:t>SiO2</w:t>
      </w:r>
      <w:r>
        <w:t xml:space="preserve"> mg</w:t>
      </w:r>
      <w:r w:rsidRPr="009E11C2">
        <w:rPr>
          <w:vertAlign w:val="subscript"/>
        </w:rPr>
        <w:t>D5</w:t>
      </w:r>
      <w:r w:rsidRPr="009E11C2">
        <w:rPr>
          <w:vertAlign w:val="superscript"/>
        </w:rPr>
        <w:t>-1</w:t>
      </w:r>
      <w:r>
        <w:t>) which in this study equates to around 860 g</w:t>
      </w:r>
      <w:r w:rsidRPr="009E11C2">
        <w:rPr>
          <w:vertAlign w:val="subscript"/>
        </w:rPr>
        <w:t xml:space="preserve">SiO2 </w:t>
      </w:r>
      <w:r>
        <w:t>h</w:t>
      </w:r>
      <w:r w:rsidRPr="009E11C2">
        <w:rPr>
          <w:vertAlign w:val="superscript"/>
        </w:rPr>
        <w:t>-1</w:t>
      </w:r>
      <w:r>
        <w:t xml:space="preserve"> </w:t>
      </w:r>
      <w:r w:rsidR="00830D9A">
        <w:t>(</w:t>
      </w:r>
      <w:r w:rsidR="00046E11">
        <w:t>using the assumption that</w:t>
      </w:r>
      <w:r>
        <w:t xml:space="preserve"> contactors are operated at saturation following breakthrough</w:t>
      </w:r>
      <w:r w:rsidR="00830D9A">
        <w:t>)</w:t>
      </w:r>
      <w:r>
        <w:t xml:space="preserve">. Towers </w:t>
      </w:r>
      <w:r>
        <w:fldChar w:fldCharType="begin"/>
      </w:r>
      <w:r>
        <w:instrText>ADDIN RW.CITE{{295 Tower,P. 2003/a;}}</w:instrText>
      </w:r>
      <w:r>
        <w:fldChar w:fldCharType="separate"/>
      </w:r>
      <w:r>
        <w:t>(2003)</w:t>
      </w:r>
      <w:r>
        <w:fldChar w:fldCharType="end"/>
      </w:r>
      <w:r w:rsidRPr="00C05173">
        <w:t xml:space="preserve"> postulated that </w:t>
      </w:r>
      <w:r>
        <w:t>up</w:t>
      </w:r>
      <w:r w:rsidRPr="00C05173">
        <w:t xml:space="preserve"> to 0.5% of the SiO</w:t>
      </w:r>
      <w:r w:rsidRPr="009E11C2">
        <w:rPr>
          <w:vertAlign w:val="subscript"/>
        </w:rPr>
        <w:t>2</w:t>
      </w:r>
      <w:r w:rsidRPr="00C05173">
        <w:t xml:space="preserve"> </w:t>
      </w:r>
      <w:r>
        <w:t xml:space="preserve">formed during combustion was retained within the engine </w:t>
      </w:r>
      <w:r w:rsidRPr="00C05173">
        <w:t>with around 45 g</w:t>
      </w:r>
      <w:r w:rsidRPr="009E11C2">
        <w:rPr>
          <w:vertAlign w:val="subscript"/>
        </w:rPr>
        <w:t>SiO2</w:t>
      </w:r>
      <w:r>
        <w:t xml:space="preserve"> </w:t>
      </w:r>
      <w:proofErr w:type="gramStart"/>
      <w:r w:rsidRPr="00C05173">
        <w:t>deposition</w:t>
      </w:r>
      <w:proofErr w:type="gramEnd"/>
      <w:r w:rsidRPr="00C05173">
        <w:t xml:space="preserve"> proving critical </w:t>
      </w:r>
      <w:r w:rsidR="00830D9A">
        <w:t>to trigger</w:t>
      </w:r>
      <w:r w:rsidRPr="00C05173">
        <w:t xml:space="preserve"> </w:t>
      </w:r>
      <w:r>
        <w:t xml:space="preserve">reactive </w:t>
      </w:r>
      <w:r w:rsidRPr="00C05173">
        <w:t xml:space="preserve">engine </w:t>
      </w:r>
      <w:r>
        <w:t>maintenance</w:t>
      </w:r>
      <w:r w:rsidRPr="00C05173">
        <w:t xml:space="preserve"> </w:t>
      </w:r>
      <w:r>
        <w:t>intervention</w:t>
      </w:r>
      <w:r w:rsidRPr="00C05173">
        <w:t>.</w:t>
      </w:r>
      <w:r>
        <w:t xml:space="preserve"> This is equivalent to operating the GAC contactors in this study at saturation for </w:t>
      </w:r>
      <w:r w:rsidR="00397709">
        <w:t>only</w:t>
      </w:r>
      <w:r>
        <w:t xml:space="preserve"> 11 h following breakthrough. </w:t>
      </w:r>
      <w:r w:rsidR="00397709">
        <w:t xml:space="preserve">Importantly, in this study on-line FTIR was used for the first time to characterise filter operation rather than control. Consequently, </w:t>
      </w:r>
      <w:r w:rsidR="00830D9A">
        <w:t xml:space="preserve">implementation of on-line </w:t>
      </w:r>
      <w:r w:rsidR="00397709">
        <w:t>FTIR</w:t>
      </w:r>
      <w:r w:rsidR="00830D9A">
        <w:t xml:space="preserve"> is recommended to enable</w:t>
      </w:r>
      <w:r w:rsidR="00397709">
        <w:t xml:space="preserve"> reactive filter shutdown prior to breakthrough</w:t>
      </w:r>
      <w:r w:rsidR="00830D9A">
        <w:t xml:space="preserve"> which presents two advantages: (</w:t>
      </w:r>
      <w:proofErr w:type="spellStart"/>
      <w:r w:rsidR="00830D9A">
        <w:t>i</w:t>
      </w:r>
      <w:proofErr w:type="spellEnd"/>
      <w:r w:rsidR="00830D9A">
        <w:t>) limiting SiO</w:t>
      </w:r>
      <w:r w:rsidR="00830D9A" w:rsidRPr="00830D9A">
        <w:rPr>
          <w:vertAlign w:val="subscript"/>
        </w:rPr>
        <w:t>2</w:t>
      </w:r>
      <w:r w:rsidR="00830D9A">
        <w:t xml:space="preserve"> deposition post-breakthrough; and, </w:t>
      </w:r>
      <w:r w:rsidR="00396207">
        <w:t xml:space="preserve">(ii) </w:t>
      </w:r>
      <w:r w:rsidR="00397709">
        <w:t>enhanc</w:t>
      </w:r>
      <w:r w:rsidR="00830D9A">
        <w:t>ing</w:t>
      </w:r>
      <w:r w:rsidR="00397709">
        <w:t xml:space="preserve"> conformity with the specified </w:t>
      </w:r>
      <w:r w:rsidR="00830D9A">
        <w:t xml:space="preserve">siloxane </w:t>
      </w:r>
      <w:r w:rsidR="00397709">
        <w:t xml:space="preserve">limits. </w:t>
      </w:r>
      <w:r w:rsidR="00830D9A">
        <w:t xml:space="preserve">Importantly, the contactors </w:t>
      </w:r>
      <w:r w:rsidR="00E82E78">
        <w:t xml:space="preserve">were characterised by a </w:t>
      </w:r>
      <w:r w:rsidR="00E82E78" w:rsidRPr="00C05173">
        <w:t>short mass transfer zone</w:t>
      </w:r>
      <w:r w:rsidR="00830D9A">
        <w:t xml:space="preserve"> (generally less than 1.5% of total bed length)</w:t>
      </w:r>
      <w:r w:rsidR="00E82E78" w:rsidRPr="00C05173">
        <w:t xml:space="preserve"> </w:t>
      </w:r>
      <w:r w:rsidR="00E82E78">
        <w:t xml:space="preserve">which </w:t>
      </w:r>
      <w:r w:rsidR="00E82E78" w:rsidRPr="00C05173">
        <w:t>is common for gas adsorption</w:t>
      </w:r>
      <w:r w:rsidR="00396207">
        <w:t xml:space="preserve"> applications </w:t>
      </w:r>
      <w:r w:rsidR="00E82E78">
        <w:t xml:space="preserve">and </w:t>
      </w:r>
      <w:r w:rsidR="00396207">
        <w:t xml:space="preserve">can </w:t>
      </w:r>
      <w:r w:rsidR="00E82E78">
        <w:t xml:space="preserve">result in </w:t>
      </w:r>
      <w:r w:rsidR="00E82E78" w:rsidRPr="00C05173">
        <w:t>s</w:t>
      </w:r>
      <w:r w:rsidR="00E82E78">
        <w:t xml:space="preserve">harp </w:t>
      </w:r>
      <w:r w:rsidR="00E82E78" w:rsidRPr="00C05173">
        <w:t>breakthrough curves</w:t>
      </w:r>
      <w:r w:rsidR="00E82E78">
        <w:t xml:space="preserve"> </w:t>
      </w:r>
      <w:r w:rsidR="00E82E78">
        <w:fldChar w:fldCharType="begin"/>
      </w:r>
      <w:r w:rsidR="00E82E78">
        <w:instrText>ADDIN RW.CITE{{265 Crittenden,B. 1998/s108;}}</w:instrText>
      </w:r>
      <w:r w:rsidR="00E82E78">
        <w:fldChar w:fldCharType="separate"/>
      </w:r>
      <w:r w:rsidR="00E82E78">
        <w:fldChar w:fldCharType="begin"/>
      </w:r>
      <w:r w:rsidR="00E82E78">
        <w:instrText>ADDIN RW.CITE{{280 Armenante, P.M. 2012;286 Welty,J.R. 2001/s438;}}</w:instrText>
      </w:r>
      <w:r w:rsidR="00E82E78">
        <w:fldChar w:fldCharType="separate"/>
      </w:r>
      <w:r w:rsidR="00E82E78">
        <w:t>(Armenante, 2012;</w:t>
      </w:r>
      <w:r w:rsidR="00E82E78">
        <w:fldChar w:fldCharType="end"/>
      </w:r>
      <w:r w:rsidR="00E82E78">
        <w:t xml:space="preserve"> Crittenden and Thomas, 1998)</w:t>
      </w:r>
      <w:r w:rsidR="00E82E78">
        <w:fldChar w:fldCharType="end"/>
      </w:r>
      <w:r w:rsidR="00E82E78">
        <w:t xml:space="preserve">. </w:t>
      </w:r>
      <w:r w:rsidR="00396207">
        <w:t xml:space="preserve">Consequently, </w:t>
      </w:r>
      <w:r w:rsidR="00E82E78">
        <w:t>the transition from pseudo steady-state outlet</w:t>
      </w:r>
      <w:r w:rsidR="00396207">
        <w:t xml:space="preserve"> siloxane </w:t>
      </w:r>
      <w:r w:rsidR="00E82E78">
        <w:t>concentration to breakthrough occurred in less than one hour</w:t>
      </w:r>
      <w:r w:rsidR="00396207">
        <w:t xml:space="preserve"> for GAC2 and GAC4</w:t>
      </w:r>
      <w:r w:rsidR="00E82E78">
        <w:t xml:space="preserve">. </w:t>
      </w:r>
      <w:r w:rsidR="00396207">
        <w:t xml:space="preserve">Current detection methods generally couple grab sampling with laboratory based determination which introduces a lag time of up to 48 hours and so are insufficiently responsive to react to this type of breakthrough curve and underpins the important role hat on-line detection can have in </w:t>
      </w:r>
      <w:r w:rsidR="00E82E78">
        <w:t>enabl</w:t>
      </w:r>
      <w:r w:rsidR="00396207">
        <w:t>ing</w:t>
      </w:r>
      <w:r w:rsidR="00E82E78">
        <w:t xml:space="preserve"> reactive filter shutdown once breakthrough is reached</w:t>
      </w:r>
      <w:r w:rsidR="00396207">
        <w:t>.</w:t>
      </w:r>
    </w:p>
    <w:p w:rsidR="00215950" w:rsidRDefault="009E11C2" w:rsidP="00F85E90">
      <w:pPr>
        <w:spacing w:before="0"/>
        <w:ind w:firstLine="709"/>
      </w:pPr>
      <w:r>
        <w:lastRenderedPageBreak/>
        <w:t>S</w:t>
      </w:r>
      <w:r w:rsidRPr="00C05173">
        <w:t xml:space="preserve">pecific media capacities of </w:t>
      </w:r>
      <w:r>
        <w:t>between 8.5</w:t>
      </w:r>
      <w:r w:rsidRPr="00C05173">
        <w:t xml:space="preserve"> and 2</w:t>
      </w:r>
      <w:r>
        <w:t>2</w:t>
      </w:r>
      <w:r w:rsidRPr="00C05173">
        <w:t xml:space="preserve"> </w:t>
      </w:r>
      <w:proofErr w:type="spellStart"/>
      <w:r w:rsidRPr="00C05173">
        <w:t>g</w:t>
      </w:r>
      <w:r w:rsidRPr="009E11C2">
        <w:rPr>
          <w:vertAlign w:val="subscript"/>
        </w:rPr>
        <w:t>siloxane</w:t>
      </w:r>
      <w:proofErr w:type="spellEnd"/>
      <w:r w:rsidRPr="00C05173">
        <w:t xml:space="preserve"> kg</w:t>
      </w:r>
      <w:r w:rsidRPr="009E11C2">
        <w:rPr>
          <w:vertAlign w:val="subscript"/>
        </w:rPr>
        <w:t>GAC</w:t>
      </w:r>
      <w:r w:rsidRPr="009E11C2">
        <w:rPr>
          <w:vertAlign w:val="superscript"/>
        </w:rPr>
        <w:t>-1</w:t>
      </w:r>
      <w:r>
        <w:t xml:space="preserve"> were recorded for the </w:t>
      </w:r>
      <w:r w:rsidRPr="00C05173">
        <w:t xml:space="preserve">five </w:t>
      </w:r>
      <w:r>
        <w:t xml:space="preserve">parallel </w:t>
      </w:r>
      <w:r w:rsidRPr="00C05173">
        <w:t>full scale GAC contactors</w:t>
      </w:r>
      <w:r>
        <w:t xml:space="preserve"> which is below the adsorption capacity </w:t>
      </w:r>
      <w:r w:rsidR="00F85E90">
        <w:t xml:space="preserve">typically quoted for </w:t>
      </w:r>
      <w:r>
        <w:t>vapour phase GAC of around 100 g kg</w:t>
      </w:r>
      <w:r w:rsidRPr="009E11C2">
        <w:rPr>
          <w:vertAlign w:val="superscript"/>
        </w:rPr>
        <w:t>-1</w:t>
      </w:r>
      <w:r>
        <w:t xml:space="preserve"> (</w:t>
      </w:r>
      <w:proofErr w:type="spellStart"/>
      <w:r>
        <w:t>Kuo</w:t>
      </w:r>
      <w:proofErr w:type="spellEnd"/>
      <w:r>
        <w:t xml:space="preserve">, 1999). </w:t>
      </w:r>
      <w:r w:rsidR="00F85E90">
        <w:t>Media capacities close to this value of up to 75</w:t>
      </w:r>
      <w:r w:rsidR="00F85E90" w:rsidRPr="00F85E90">
        <w:t xml:space="preserve"> </w:t>
      </w:r>
      <w:proofErr w:type="spellStart"/>
      <w:r w:rsidR="00F85E90" w:rsidRPr="00C05173">
        <w:t>g</w:t>
      </w:r>
      <w:r w:rsidR="00F85E90" w:rsidRPr="009E11C2">
        <w:rPr>
          <w:vertAlign w:val="subscript"/>
        </w:rPr>
        <w:t>siloxane</w:t>
      </w:r>
      <w:proofErr w:type="spellEnd"/>
      <w:r w:rsidR="00F85E90" w:rsidRPr="00C05173">
        <w:t xml:space="preserve"> kg</w:t>
      </w:r>
      <w:r w:rsidR="00F85E90">
        <w:rPr>
          <w:vertAlign w:val="subscript"/>
        </w:rPr>
        <w:t>media</w:t>
      </w:r>
      <w:r w:rsidR="00F85E90" w:rsidRPr="009E11C2">
        <w:rPr>
          <w:vertAlign w:val="superscript"/>
        </w:rPr>
        <w:t>-1</w:t>
      </w:r>
      <w:r w:rsidR="00F85E90">
        <w:t xml:space="preserve"> have been reported at full scale for siloxanes removal using a proprietary graphite based media (Tower and Wetzel, 2004, Table 6). H</w:t>
      </w:r>
      <w:r>
        <w:t xml:space="preserve">owever, </w:t>
      </w:r>
      <w:r w:rsidR="00F85E90">
        <w:t xml:space="preserve">data from this study </w:t>
      </w:r>
      <w:r>
        <w:t xml:space="preserve">is comparable to </w:t>
      </w:r>
      <w:proofErr w:type="spellStart"/>
      <w:r>
        <w:t>Wheless</w:t>
      </w:r>
      <w:proofErr w:type="spellEnd"/>
      <w:r>
        <w:t xml:space="preserve"> and Pierce (2004) </w:t>
      </w:r>
      <w:r w:rsidR="008D0E43">
        <w:t xml:space="preserve">who </w:t>
      </w:r>
      <w:r w:rsidRPr="00C05173">
        <w:t xml:space="preserve">reported media capacities </w:t>
      </w:r>
      <w:r w:rsidR="008D0E43">
        <w:t xml:space="preserve">of a carbon/graphite mixed bed contactor </w:t>
      </w:r>
      <w:r>
        <w:t xml:space="preserve">ranging </w:t>
      </w:r>
      <w:r w:rsidRPr="00C05173">
        <w:t xml:space="preserve">5 to 15 </w:t>
      </w:r>
      <w:proofErr w:type="spellStart"/>
      <w:r w:rsidRPr="00C05173">
        <w:t>g</w:t>
      </w:r>
      <w:r w:rsidRPr="009E11C2">
        <w:rPr>
          <w:vertAlign w:val="subscript"/>
        </w:rPr>
        <w:t>siloxane</w:t>
      </w:r>
      <w:proofErr w:type="spellEnd"/>
      <w:r w:rsidRPr="00C05173">
        <w:t xml:space="preserve"> kg</w:t>
      </w:r>
      <w:r w:rsidRPr="009E11C2">
        <w:rPr>
          <w:vertAlign w:val="subscript"/>
        </w:rPr>
        <w:t>GAC</w:t>
      </w:r>
      <w:r w:rsidRPr="009E11C2">
        <w:rPr>
          <w:vertAlign w:val="superscript"/>
        </w:rPr>
        <w:t>-1</w:t>
      </w:r>
      <w:r w:rsidR="00F85E90">
        <w:t>. In this study, t</w:t>
      </w:r>
      <w:r>
        <w:t>he low capacity can be ascribed to</w:t>
      </w:r>
      <w:r w:rsidR="00EE2CF3">
        <w:t xml:space="preserve"> co-</w:t>
      </w:r>
      <w:r w:rsidR="00E55B04">
        <w:t>separation</w:t>
      </w:r>
      <w:r w:rsidR="00EE2CF3">
        <w:t xml:space="preserve"> o</w:t>
      </w:r>
      <w:r w:rsidR="006272C6">
        <w:t>f both alkane and aromatic groups</w:t>
      </w:r>
      <w:r w:rsidR="00EE2CF3">
        <w:t xml:space="preserve"> </w:t>
      </w:r>
      <w:r w:rsidR="00E55B04">
        <w:t xml:space="preserve">with siloxanes </w:t>
      </w:r>
      <w:r w:rsidR="00EE2CF3">
        <w:t>during the exhaustion cycle</w:t>
      </w:r>
      <w:r>
        <w:t xml:space="preserve"> (Table 5)</w:t>
      </w:r>
      <w:r w:rsidR="00EE2CF3">
        <w:t xml:space="preserve">. </w:t>
      </w:r>
      <w:r w:rsidR="00E55B04">
        <w:t xml:space="preserve">Shin et al. (2002) </w:t>
      </w:r>
      <w:r w:rsidR="006272C6">
        <w:t>also identified the presence of the BTEX aromatics in landfill biogas at similar concentrations to this study. The authors further identified specific capacities for pure toluene in a synthetic gas phase, for example, of up to 497 g kgGAC</w:t>
      </w:r>
      <w:r w:rsidR="006272C6" w:rsidRPr="006272C6">
        <w:rPr>
          <w:vertAlign w:val="superscript"/>
        </w:rPr>
        <w:t>-1</w:t>
      </w:r>
      <w:r w:rsidR="006272C6">
        <w:t xml:space="preserve">. </w:t>
      </w:r>
      <w:r>
        <w:t xml:space="preserve">The mean time to breakthrough in this study was less than </w:t>
      </w:r>
      <w:r w:rsidRPr="00C05173">
        <w:t>26 d</w:t>
      </w:r>
      <w:r>
        <w:t xml:space="preserve">ays </w:t>
      </w:r>
      <w:r w:rsidRPr="00C05173">
        <w:t xml:space="preserve">which is </w:t>
      </w:r>
      <w:r>
        <w:t>le</w:t>
      </w:r>
      <w:r w:rsidRPr="00C05173">
        <w:t>ss than has been reported at full scale</w:t>
      </w:r>
      <w:r>
        <w:t xml:space="preserve">. </w:t>
      </w:r>
      <w:r w:rsidR="00307353">
        <w:t xml:space="preserve">For example, </w:t>
      </w:r>
      <w:r>
        <w:t xml:space="preserve">Tower and Wetzel </w:t>
      </w:r>
      <w:r>
        <w:fldChar w:fldCharType="begin"/>
      </w:r>
      <w:r>
        <w:instrText>ADDIN RW.CITE{{188 Tower,P.M. 2004/a;}}</w:instrText>
      </w:r>
      <w:r>
        <w:fldChar w:fldCharType="separate"/>
      </w:r>
      <w:r>
        <w:t>(2004)</w:t>
      </w:r>
      <w:r>
        <w:fldChar w:fldCharType="end"/>
      </w:r>
      <w:r w:rsidR="00307353">
        <w:t xml:space="preserve"> evidenced </w:t>
      </w:r>
      <w:r w:rsidR="00307353" w:rsidRPr="00C05173">
        <w:t>an exhaustion cycle of several months</w:t>
      </w:r>
      <w:r w:rsidR="00307353">
        <w:t xml:space="preserve"> during the treatment of a</w:t>
      </w:r>
      <w:r w:rsidRPr="00C05173">
        <w:t xml:space="preserve"> biogas </w:t>
      </w:r>
      <w:r>
        <w:t xml:space="preserve">composed of </w:t>
      </w:r>
      <w:r w:rsidRPr="00C05173">
        <w:t>0.58-1 mg</w:t>
      </w:r>
      <w:r w:rsidRPr="009E11C2">
        <w:rPr>
          <w:vertAlign w:val="subscript"/>
        </w:rPr>
        <w:t>D5</w:t>
      </w:r>
      <w:r w:rsidRPr="00C05173">
        <w:t xml:space="preserve"> m</w:t>
      </w:r>
      <w:r w:rsidRPr="009E11C2">
        <w:rPr>
          <w:vertAlign w:val="superscript"/>
        </w:rPr>
        <w:t>-3</w:t>
      </w:r>
      <w:r w:rsidRPr="00C05173">
        <w:t xml:space="preserve"> and 4.52</w:t>
      </w:r>
      <w:r>
        <w:t xml:space="preserve"> </w:t>
      </w:r>
      <w:r w:rsidRPr="00C05173">
        <w:t>-</w:t>
      </w:r>
      <w:r>
        <w:t xml:space="preserve"> </w:t>
      </w:r>
      <w:r w:rsidRPr="00C05173">
        <w:t>13.0 mg</w:t>
      </w:r>
      <w:r w:rsidRPr="009E11C2">
        <w:rPr>
          <w:vertAlign w:val="subscript"/>
        </w:rPr>
        <w:t>D4</w:t>
      </w:r>
      <w:r w:rsidRPr="00C05173">
        <w:t xml:space="preserve"> m</w:t>
      </w:r>
      <w:r w:rsidRPr="009E11C2">
        <w:rPr>
          <w:vertAlign w:val="superscript"/>
        </w:rPr>
        <w:t>-3</w:t>
      </w:r>
      <w:r w:rsidR="00307353">
        <w:t xml:space="preserve">. The contactors that the authors described were operated using a similar </w:t>
      </w:r>
      <w:r>
        <w:t xml:space="preserve">EBCT </w:t>
      </w:r>
      <w:r w:rsidR="00307353">
        <w:t>to</w:t>
      </w:r>
      <w:r>
        <w:t xml:space="preserve"> this study</w:t>
      </w:r>
      <w:r w:rsidR="00307353">
        <w:t xml:space="preserve"> but due to the low </w:t>
      </w:r>
      <w:r w:rsidR="0018638C">
        <w:t xml:space="preserve">inlet </w:t>
      </w:r>
      <w:r w:rsidR="00307353">
        <w:t>siloxane concentration</w:t>
      </w:r>
      <w:r>
        <w:t xml:space="preserve">, siloxane loading was only </w:t>
      </w:r>
      <w:r w:rsidRPr="00C05173">
        <w:t xml:space="preserve">1.47 </w:t>
      </w:r>
      <w:proofErr w:type="spellStart"/>
      <w:r w:rsidRPr="00C05173">
        <w:t>g</w:t>
      </w:r>
      <w:r w:rsidRPr="009E11C2">
        <w:rPr>
          <w:vertAlign w:val="subscript"/>
        </w:rPr>
        <w:t>siloxane</w:t>
      </w:r>
      <w:proofErr w:type="spellEnd"/>
      <w:r w:rsidRPr="00C05173">
        <w:t xml:space="preserve"> m</w:t>
      </w:r>
      <w:r w:rsidRPr="009E11C2">
        <w:rPr>
          <w:vertAlign w:val="superscript"/>
        </w:rPr>
        <w:t>3</w:t>
      </w:r>
      <w:r w:rsidRPr="009E11C2">
        <w:rPr>
          <w:vertAlign w:val="subscript"/>
        </w:rPr>
        <w:t>graphite</w:t>
      </w:r>
      <w:r w:rsidRPr="00C05173">
        <w:t xml:space="preserve"> h</w:t>
      </w:r>
      <w:r w:rsidRPr="009E11C2">
        <w:rPr>
          <w:vertAlign w:val="superscript"/>
        </w:rPr>
        <w:t>-1</w:t>
      </w:r>
      <w:r>
        <w:t>. In this study</w:t>
      </w:r>
      <w:r w:rsidRPr="00C05173">
        <w:t xml:space="preserve"> inlet siloxane concentration</w:t>
      </w:r>
      <w:r>
        <w:t xml:space="preserve"> </w:t>
      </w:r>
      <w:r w:rsidRPr="00C05173">
        <w:t xml:space="preserve">ranged from </w:t>
      </w:r>
      <w:r w:rsidR="0018638C">
        <w:t>22.9</w:t>
      </w:r>
      <w:r w:rsidRPr="00C05173">
        <w:t xml:space="preserve"> to 313.8 mg m</w:t>
      </w:r>
      <w:r w:rsidRPr="009E11C2">
        <w:rPr>
          <w:vertAlign w:val="superscript"/>
        </w:rPr>
        <w:t>-3</w:t>
      </w:r>
      <w:r>
        <w:t xml:space="preserve"> which yielded </w:t>
      </w:r>
      <w:r w:rsidRPr="00C05173">
        <w:t>siloxane loading</w:t>
      </w:r>
      <w:r>
        <w:t xml:space="preserve"> of </w:t>
      </w:r>
      <w:r w:rsidR="0018638C">
        <w:t>up</w:t>
      </w:r>
      <w:r>
        <w:t xml:space="preserve"> to 97.5</w:t>
      </w:r>
      <w:r w:rsidRPr="00C05173">
        <w:t xml:space="preserve"> </w:t>
      </w:r>
      <w:proofErr w:type="spellStart"/>
      <w:r w:rsidRPr="00C05173">
        <w:t>g</w:t>
      </w:r>
      <w:r w:rsidRPr="009E11C2">
        <w:rPr>
          <w:vertAlign w:val="subscript"/>
        </w:rPr>
        <w:t>siloxane</w:t>
      </w:r>
      <w:proofErr w:type="spellEnd"/>
      <w:r w:rsidRPr="00C05173">
        <w:t xml:space="preserve"> m</w:t>
      </w:r>
      <w:r w:rsidRPr="009E11C2">
        <w:rPr>
          <w:vertAlign w:val="superscript"/>
        </w:rPr>
        <w:t>3</w:t>
      </w:r>
      <w:r w:rsidRPr="009E11C2">
        <w:rPr>
          <w:vertAlign w:val="subscript"/>
        </w:rPr>
        <w:t>GAC</w:t>
      </w:r>
      <w:r w:rsidRPr="00C05173">
        <w:t xml:space="preserve"> h</w:t>
      </w:r>
      <w:r w:rsidRPr="009E11C2">
        <w:rPr>
          <w:vertAlign w:val="superscript"/>
        </w:rPr>
        <w:t>-1</w:t>
      </w:r>
      <w:r>
        <w:t>. I</w:t>
      </w:r>
      <w:r w:rsidRPr="00C05173">
        <w:t>t is</w:t>
      </w:r>
      <w:r>
        <w:t xml:space="preserve"> therefore</w:t>
      </w:r>
      <w:r w:rsidR="0018638C">
        <w:t xml:space="preserve"> posited that it is </w:t>
      </w:r>
      <w:r w:rsidRPr="00C05173">
        <w:t>the high inlet</w:t>
      </w:r>
      <w:r>
        <w:t xml:space="preserve"> siloxane </w:t>
      </w:r>
      <w:r w:rsidRPr="00C05173">
        <w:t>concentration which induce</w:t>
      </w:r>
      <w:r w:rsidR="0018638C">
        <w:t xml:space="preserve">d comparatively </w:t>
      </w:r>
      <w:r w:rsidRPr="00C05173">
        <w:t>short</w:t>
      </w:r>
      <w:r w:rsidR="0018638C">
        <w:t>er</w:t>
      </w:r>
      <w:r w:rsidRPr="00C05173">
        <w:t xml:space="preserve"> exhaustion cycles</w:t>
      </w:r>
      <w:r w:rsidR="0018638C">
        <w:t xml:space="preserve"> in this study</w:t>
      </w:r>
      <w:r w:rsidRPr="00C05173">
        <w:t>.</w:t>
      </w:r>
    </w:p>
    <w:p w:rsidR="007D4A54" w:rsidRDefault="00361E53" w:rsidP="008C0058">
      <w:pPr>
        <w:spacing w:before="0"/>
        <w:ind w:firstLine="709"/>
      </w:pPr>
      <w:r>
        <w:lastRenderedPageBreak/>
        <w:t>Cooney (1999) proposed that if the same media is used in different contactors, then provided EBCT, bed velocity and column length are consistent, the contactors should process an equivalent number of bed volumes before breakthrough. However, w</w:t>
      </w:r>
      <w:r w:rsidRPr="00C05173">
        <w:t xml:space="preserve">hilst the </w:t>
      </w:r>
      <w:r>
        <w:t xml:space="preserve">same </w:t>
      </w:r>
      <w:r w:rsidRPr="00C05173">
        <w:t xml:space="preserve">media </w:t>
      </w:r>
      <w:r>
        <w:t xml:space="preserve">was </w:t>
      </w:r>
      <w:r w:rsidRPr="00C05173">
        <w:t xml:space="preserve">employed in each </w:t>
      </w:r>
      <w:r>
        <w:t>contactor</w:t>
      </w:r>
      <w:r w:rsidRPr="00C05173">
        <w:t xml:space="preserve">, </w:t>
      </w:r>
      <w:r>
        <w:t xml:space="preserve">the </w:t>
      </w:r>
      <w:r w:rsidRPr="00C05173">
        <w:t>number of bed volumes treated before breakthrough (mean</w:t>
      </w:r>
      <w:r>
        <w:t xml:space="preserve"> range</w:t>
      </w:r>
      <w:r w:rsidRPr="00C05173">
        <w:t>,</w:t>
      </w:r>
      <w:r>
        <w:t xml:space="preserve"> 34587 to 119040</w:t>
      </w:r>
      <w:r w:rsidRPr="00C05173">
        <w:t xml:space="preserve">) </w:t>
      </w:r>
      <w:r>
        <w:t xml:space="preserve">varied markedly between contactors. </w:t>
      </w:r>
      <w:r w:rsidR="00215950">
        <w:t xml:space="preserve">Dimensional analysis of the contactors identified a </w:t>
      </w:r>
      <w:r w:rsidR="00215950" w:rsidRPr="00C05173">
        <w:t>minimum contactor diameter to particle diameter ratio</w:t>
      </w:r>
      <w:r w:rsidR="00215950">
        <w:t xml:space="preserve"> (d</w:t>
      </w:r>
      <w:r w:rsidR="00215950" w:rsidRPr="0070565F">
        <w:rPr>
          <w:vertAlign w:val="subscript"/>
        </w:rPr>
        <w:t>c</w:t>
      </w:r>
      <w:r w:rsidR="00215950">
        <w:t>/</w:t>
      </w:r>
      <w:proofErr w:type="spellStart"/>
      <w:r w:rsidR="00215950">
        <w:t>d</w:t>
      </w:r>
      <w:r w:rsidR="00215950" w:rsidRPr="0070565F">
        <w:rPr>
          <w:vertAlign w:val="subscript"/>
        </w:rPr>
        <w:t>p</w:t>
      </w:r>
      <w:proofErr w:type="spellEnd"/>
      <w:r w:rsidR="00215950">
        <w:t xml:space="preserve">) of </w:t>
      </w:r>
      <w:r w:rsidR="00215950" w:rsidRPr="00C05173">
        <w:t>225</w:t>
      </w:r>
      <w:r w:rsidR="00215950">
        <w:t xml:space="preserve"> which suggests that the reduction in specific capacity noted in several contactors is not expected to arise from channelling effects at the wall (generally noted at d</w:t>
      </w:r>
      <w:r w:rsidR="00215950" w:rsidRPr="0070565F">
        <w:rPr>
          <w:vertAlign w:val="subscript"/>
        </w:rPr>
        <w:t>c</w:t>
      </w:r>
      <w:r w:rsidR="00215950">
        <w:t>/</w:t>
      </w:r>
      <w:proofErr w:type="spellStart"/>
      <w:r w:rsidR="00215950">
        <w:t>d</w:t>
      </w:r>
      <w:r w:rsidR="00215950" w:rsidRPr="0070565F">
        <w:rPr>
          <w:vertAlign w:val="subscript"/>
        </w:rPr>
        <w:t>p</w:t>
      </w:r>
      <w:proofErr w:type="spellEnd"/>
      <w:r w:rsidR="00215950">
        <w:t xml:space="preserve"> below 30) or random variations in the interstitial velocity in the bed interior (Cooney, </w:t>
      </w:r>
      <w:r w:rsidR="00264C52">
        <w:t>1998</w:t>
      </w:r>
      <w:r w:rsidR="00215950">
        <w:t xml:space="preserve">; </w:t>
      </w:r>
      <w:r w:rsidR="00215950" w:rsidRPr="00C05173">
        <w:t>Crittenden and Thomas, 1998</w:t>
      </w:r>
      <w:r w:rsidR="00215950">
        <w:t xml:space="preserve">). However, superficial velocity did vary between </w:t>
      </w:r>
      <w:r w:rsidR="00215950" w:rsidRPr="0070565F">
        <w:rPr>
          <w:color w:val="000000"/>
        </w:rPr>
        <w:t>203 and 1075 m h</w:t>
      </w:r>
      <w:r w:rsidR="00215950" w:rsidRPr="0070565F">
        <w:rPr>
          <w:color w:val="000000"/>
          <w:vertAlign w:val="superscript"/>
        </w:rPr>
        <w:t>-1</w:t>
      </w:r>
      <w:r w:rsidR="00215950" w:rsidRPr="0070565F">
        <w:rPr>
          <w:color w:val="000000"/>
        </w:rPr>
        <w:t xml:space="preserve"> (Table</w:t>
      </w:r>
      <w:r w:rsidR="00264C52">
        <w:rPr>
          <w:color w:val="000000"/>
        </w:rPr>
        <w:t xml:space="preserve"> 3</w:t>
      </w:r>
      <w:r w:rsidR="00215950" w:rsidRPr="0070565F">
        <w:rPr>
          <w:color w:val="000000"/>
        </w:rPr>
        <w:t>)</w:t>
      </w:r>
      <w:r w:rsidR="00264C52">
        <w:rPr>
          <w:color w:val="000000"/>
        </w:rPr>
        <w:t xml:space="preserve"> </w:t>
      </w:r>
      <w:r w:rsidR="00215950" w:rsidRPr="0070565F">
        <w:rPr>
          <w:color w:val="000000"/>
        </w:rPr>
        <w:t xml:space="preserve">due to differences in contactor dimension and gas flow rate. </w:t>
      </w:r>
      <w:r w:rsidR="00E45AFD">
        <w:rPr>
          <w:color w:val="000000"/>
        </w:rPr>
        <w:t xml:space="preserve">These are within the lower range reported </w:t>
      </w:r>
      <w:r w:rsidR="001C778F">
        <w:rPr>
          <w:color w:val="000000"/>
        </w:rPr>
        <w:t xml:space="preserve">for vapour phase GAC </w:t>
      </w:r>
      <w:r w:rsidR="00E45AFD">
        <w:rPr>
          <w:color w:val="000000"/>
        </w:rPr>
        <w:t>of 144 to 1829 m h</w:t>
      </w:r>
      <w:r w:rsidR="00E45AFD" w:rsidRPr="001C778F">
        <w:rPr>
          <w:color w:val="000000"/>
          <w:vertAlign w:val="superscript"/>
        </w:rPr>
        <w:t>-1</w:t>
      </w:r>
      <w:r w:rsidR="00E45AFD">
        <w:rPr>
          <w:color w:val="000000"/>
        </w:rPr>
        <w:t xml:space="preserve"> </w:t>
      </w:r>
      <w:r w:rsidR="001C778F">
        <w:rPr>
          <w:color w:val="000000"/>
        </w:rPr>
        <w:t xml:space="preserve">with values </w:t>
      </w:r>
      <w:r w:rsidR="00E45AFD">
        <w:rPr>
          <w:color w:val="000000"/>
        </w:rPr>
        <w:t>up to 3660 m h</w:t>
      </w:r>
      <w:r w:rsidR="00E45AFD" w:rsidRPr="001C778F">
        <w:rPr>
          <w:color w:val="000000"/>
          <w:vertAlign w:val="superscript"/>
        </w:rPr>
        <w:t>-1</w:t>
      </w:r>
      <w:r w:rsidR="00E45AFD">
        <w:rPr>
          <w:color w:val="000000"/>
        </w:rPr>
        <w:t xml:space="preserve"> a</w:t>
      </w:r>
      <w:r w:rsidR="001C778F">
        <w:rPr>
          <w:color w:val="000000"/>
        </w:rPr>
        <w:t xml:space="preserve">lso cited </w:t>
      </w:r>
      <w:r w:rsidR="00E45AFD">
        <w:rPr>
          <w:color w:val="000000"/>
        </w:rPr>
        <w:t>(</w:t>
      </w:r>
      <w:r w:rsidR="00017124">
        <w:rPr>
          <w:color w:val="000000"/>
        </w:rPr>
        <w:t>EPA booklet</w:t>
      </w:r>
      <w:r w:rsidR="00E45AFD">
        <w:rPr>
          <w:color w:val="000000"/>
        </w:rPr>
        <w:t xml:space="preserve">). </w:t>
      </w:r>
      <w:r w:rsidR="00017124">
        <w:rPr>
          <w:color w:val="000000"/>
        </w:rPr>
        <w:t>An</w:t>
      </w:r>
      <w:r w:rsidR="00215950" w:rsidRPr="0070565F">
        <w:rPr>
          <w:color w:val="000000"/>
        </w:rPr>
        <w:t xml:space="preserve"> increase</w:t>
      </w:r>
      <w:r w:rsidR="00017124">
        <w:rPr>
          <w:color w:val="000000"/>
        </w:rPr>
        <w:t>d velocity</w:t>
      </w:r>
      <w:r w:rsidR="00215950" w:rsidRPr="0070565F">
        <w:rPr>
          <w:color w:val="000000"/>
        </w:rPr>
        <w:t xml:space="preserve"> corresponded to an increase in </w:t>
      </w:r>
      <w:r w:rsidR="00215950" w:rsidRPr="00C05173">
        <w:t>number of bed volumes treated before breakthrough</w:t>
      </w:r>
      <w:r w:rsidR="00215950">
        <w:t xml:space="preserve"> </w:t>
      </w:r>
      <w:r w:rsidR="00B04B48">
        <w:t xml:space="preserve">(Figure 6) </w:t>
      </w:r>
      <w:r w:rsidR="00215950">
        <w:t xml:space="preserve">which </w:t>
      </w:r>
      <w:r w:rsidR="00215950" w:rsidRPr="0070565F">
        <w:rPr>
          <w:color w:val="000000"/>
        </w:rPr>
        <w:t>increased mean s</w:t>
      </w:r>
      <w:r w:rsidR="00215950">
        <w:t xml:space="preserve">pecific </w:t>
      </w:r>
      <w:r w:rsidR="00215950" w:rsidRPr="00C05173">
        <w:t xml:space="preserve">media capacity </w:t>
      </w:r>
      <w:r w:rsidR="00215950">
        <w:t xml:space="preserve">from </w:t>
      </w:r>
      <w:r w:rsidR="00264C52">
        <w:t>8.5</w:t>
      </w:r>
      <w:r w:rsidR="00215950">
        <w:t xml:space="preserve"> to </w:t>
      </w:r>
      <w:r w:rsidR="00264C52">
        <w:t>21</w:t>
      </w:r>
      <w:r w:rsidR="00215950">
        <w:t xml:space="preserve"> </w:t>
      </w:r>
      <w:proofErr w:type="spellStart"/>
      <w:r w:rsidR="00215950" w:rsidRPr="00C05173">
        <w:t>g</w:t>
      </w:r>
      <w:r w:rsidR="00215950" w:rsidRPr="0070565F">
        <w:rPr>
          <w:vertAlign w:val="subscript"/>
        </w:rPr>
        <w:t>siloxane</w:t>
      </w:r>
      <w:proofErr w:type="spellEnd"/>
      <w:r w:rsidR="00215950" w:rsidRPr="00C05173">
        <w:t xml:space="preserve"> kg</w:t>
      </w:r>
      <w:r w:rsidR="00215950" w:rsidRPr="0070565F">
        <w:rPr>
          <w:vertAlign w:val="subscript"/>
        </w:rPr>
        <w:t>GAC</w:t>
      </w:r>
      <w:r w:rsidR="00215950" w:rsidRPr="0070565F">
        <w:rPr>
          <w:vertAlign w:val="superscript"/>
        </w:rPr>
        <w:t>-1</w:t>
      </w:r>
      <w:r w:rsidR="00264C52">
        <w:t>. It is suggested that t</w:t>
      </w:r>
      <w:r w:rsidR="00215950">
        <w:t>he lower specific media capacity can be accounted for by axial dispersion effects which cause considerable error when the fluid is a gas (</w:t>
      </w:r>
      <w:proofErr w:type="spellStart"/>
      <w:r w:rsidR="00215950">
        <w:t>Wakao</w:t>
      </w:r>
      <w:proofErr w:type="spellEnd"/>
      <w:r w:rsidR="00215950">
        <w:t xml:space="preserve"> and </w:t>
      </w:r>
      <w:proofErr w:type="spellStart"/>
      <w:r w:rsidR="00215950">
        <w:t>Funazkri</w:t>
      </w:r>
      <w:proofErr w:type="spellEnd"/>
      <w:r w:rsidR="00215950">
        <w:t xml:space="preserve">, 1978), particularly when within the </w:t>
      </w:r>
      <w:r w:rsidR="00215950" w:rsidRPr="0070565F">
        <w:rPr>
          <w:i/>
        </w:rPr>
        <w:t>Re</w:t>
      </w:r>
      <w:r w:rsidR="00215950">
        <w:t xml:space="preserve"> range 1 to 200 (Gunn, 1987). Data from this study falls within this </w:t>
      </w:r>
      <w:r w:rsidR="00215950" w:rsidRPr="0070565F">
        <w:rPr>
          <w:i/>
        </w:rPr>
        <w:t>Re</w:t>
      </w:r>
      <w:r w:rsidR="00215950">
        <w:t xml:space="preserve"> range</w:t>
      </w:r>
      <w:r w:rsidR="00264C52">
        <w:t xml:space="preserve">. </w:t>
      </w:r>
      <w:r w:rsidR="00B04B48">
        <w:t>T</w:t>
      </w:r>
      <w:r w:rsidR="00215950">
        <w:t xml:space="preserve">he lower </w:t>
      </w:r>
      <w:r w:rsidR="00215950" w:rsidRPr="0070565F">
        <w:rPr>
          <w:i/>
        </w:rPr>
        <w:t>Re</w:t>
      </w:r>
      <w:r w:rsidR="00215950">
        <w:t xml:space="preserve"> </w:t>
      </w:r>
      <w:r w:rsidR="00B04B48">
        <w:t>region</w:t>
      </w:r>
      <w:r w:rsidR="00215950">
        <w:t xml:space="preserve"> </w:t>
      </w:r>
      <w:r w:rsidR="00264C52">
        <w:t xml:space="preserve">of this range, </w:t>
      </w:r>
      <w:r w:rsidR="007D4A54">
        <w:t xml:space="preserve">represents the upper limit of the region of creeping flow in fixed beds and is where limited specific siloxane capacities were observed (Gunn, 1987). In this region, </w:t>
      </w:r>
      <w:r w:rsidR="00264C52">
        <w:t>dispersion</w:t>
      </w:r>
      <w:r w:rsidR="00215950">
        <w:t xml:space="preserve"> </w:t>
      </w:r>
      <w:r w:rsidR="00264C52">
        <w:t xml:space="preserve">becomes </w:t>
      </w:r>
      <w:r w:rsidR="00215950">
        <w:t xml:space="preserve">primarily controlled by </w:t>
      </w:r>
      <w:r w:rsidR="00215950">
        <w:lastRenderedPageBreak/>
        <w:t>molecular diffusion</w:t>
      </w:r>
      <w:r w:rsidR="00264C52">
        <w:t xml:space="preserve"> due to the low Schmidt number which characterises the </w:t>
      </w:r>
      <w:r w:rsidR="00B04B48">
        <w:t>bio</w:t>
      </w:r>
      <w:r w:rsidR="00264C52">
        <w:t>gas phase (</w:t>
      </w:r>
      <w:proofErr w:type="spellStart"/>
      <w:r w:rsidR="00264C52" w:rsidRPr="00264C52">
        <w:rPr>
          <w:i/>
        </w:rPr>
        <w:t>Sc</w:t>
      </w:r>
      <w:proofErr w:type="spellEnd"/>
      <w:r w:rsidR="00264C52">
        <w:t>, 0.6)</w:t>
      </w:r>
      <w:r w:rsidR="00215950">
        <w:t xml:space="preserve">. Urban and </w:t>
      </w:r>
      <w:proofErr w:type="spellStart"/>
      <w:r w:rsidR="00215950">
        <w:t>Gomezplata</w:t>
      </w:r>
      <w:proofErr w:type="spellEnd"/>
      <w:r w:rsidR="00215950">
        <w:t xml:space="preserve"> (1969) evidenced that in practice, at low </w:t>
      </w:r>
      <w:r w:rsidR="00215950" w:rsidRPr="0070565F">
        <w:rPr>
          <w:i/>
        </w:rPr>
        <w:t>Re</w:t>
      </w:r>
      <w:r w:rsidR="00215950">
        <w:t xml:space="preserve"> the axial dispersion coefficient describe</w:t>
      </w:r>
      <w:r w:rsidR="007D4A54">
        <w:t>s</w:t>
      </w:r>
      <w:r w:rsidR="00215950">
        <w:t xml:space="preserve"> both diffusive axial dispersion and uneven convection. The latter term describes behaviour when molecular diffusion dominates in which radial diffusion within the velocity profile effectively inhibits dispersion caused by axial convection and leads to self-sharpening behaviour (Urban and </w:t>
      </w:r>
      <w:proofErr w:type="spellStart"/>
      <w:r w:rsidR="00215950">
        <w:t>Gomezplata</w:t>
      </w:r>
      <w:proofErr w:type="spellEnd"/>
      <w:r w:rsidR="00215950">
        <w:t xml:space="preserve">, 1969; Cussler, 2011). The production of sharp fronts was evidenced in this study for GAC2 and GAC4 following breakthrough (Figure 2) and is coincident with their operation at the lower </w:t>
      </w:r>
      <w:r w:rsidR="00215950" w:rsidRPr="0070565F">
        <w:rPr>
          <w:i/>
        </w:rPr>
        <w:t>Re</w:t>
      </w:r>
      <w:r w:rsidR="00215950">
        <w:t xml:space="preserve"> range (</w:t>
      </w:r>
      <w:r w:rsidR="00215950" w:rsidRPr="0070565F">
        <w:rPr>
          <w:i/>
        </w:rPr>
        <w:t>Re</w:t>
      </w:r>
      <w:r w:rsidR="00215950">
        <w:t xml:space="preserve"> &lt;65). </w:t>
      </w:r>
    </w:p>
    <w:p w:rsidR="00215950" w:rsidRDefault="00215950" w:rsidP="007D4A54">
      <w:pPr>
        <w:spacing w:before="0"/>
        <w:ind w:firstLine="709"/>
      </w:pPr>
      <w:r>
        <w:t xml:space="preserve">An increase in bed volumes treated before breakthrough was achieved by increasing </w:t>
      </w:r>
      <w:r w:rsidRPr="0070565F">
        <w:rPr>
          <w:i/>
        </w:rPr>
        <w:t>Re</w:t>
      </w:r>
      <w:r>
        <w:t xml:space="preserve"> (Figure 7). Gunn (1987) identified that in packed beds the onset of turbulence was around </w:t>
      </w:r>
      <w:r w:rsidRPr="0070565F">
        <w:rPr>
          <w:i/>
        </w:rPr>
        <w:t>Re</w:t>
      </w:r>
      <w:r>
        <w:t xml:space="preserve"> = 200 and is indicative of where molecular diffusion is no longer the dominant mechanism of dispersion (Urban and </w:t>
      </w:r>
      <w:proofErr w:type="spellStart"/>
      <w:r>
        <w:t>Gomezplata</w:t>
      </w:r>
      <w:proofErr w:type="spellEnd"/>
      <w:r>
        <w:t xml:space="preserve">, 1969). Whilst there is limited data in this study due to access to only five full scale contactor designs, the data would suggest that the plateau exhibited </w:t>
      </w:r>
      <w:r w:rsidR="00B04B48">
        <w:t xml:space="preserve">between </w:t>
      </w:r>
      <w:r w:rsidRPr="00B04B48">
        <w:rPr>
          <w:i/>
        </w:rPr>
        <w:t>Re</w:t>
      </w:r>
      <w:r>
        <w:t xml:space="preserve"> </w:t>
      </w:r>
      <w:r w:rsidR="00B04B48">
        <w:t>8</w:t>
      </w:r>
      <w:r>
        <w:t>1</w:t>
      </w:r>
      <w:r w:rsidR="00B04B48">
        <w:t xml:space="preserve"> and 162</w:t>
      </w:r>
      <w:r>
        <w:t xml:space="preserve"> is representative of limiting conditions (Figure 6). There is evidence that for gas systems there is no unique value of the velocity parameter at which the enhancement in mass transfer reaches a limiting value. However, limiting conditions around </w:t>
      </w:r>
      <w:r w:rsidRPr="0070565F">
        <w:rPr>
          <w:i/>
        </w:rPr>
        <w:t>Re</w:t>
      </w:r>
      <w:r w:rsidRPr="0070565F">
        <w:rPr>
          <w:vertAlign w:val="subscript"/>
        </w:rPr>
        <w:t>p</w:t>
      </w:r>
      <w:r>
        <w:t xml:space="preserve"> 100 have similarly been reported (Urban and </w:t>
      </w:r>
      <w:proofErr w:type="spellStart"/>
      <w:r>
        <w:t>Gomezplata</w:t>
      </w:r>
      <w:proofErr w:type="spellEnd"/>
      <w:r>
        <w:t xml:space="preserve">, 1969; </w:t>
      </w:r>
      <w:proofErr w:type="spellStart"/>
      <w:r>
        <w:t>Miyauchi</w:t>
      </w:r>
      <w:proofErr w:type="spellEnd"/>
      <w:r>
        <w:t xml:space="preserve"> et al., 1976). Interestingly, at higher </w:t>
      </w:r>
      <w:r w:rsidRPr="0070565F">
        <w:rPr>
          <w:i/>
        </w:rPr>
        <w:t>Re</w:t>
      </w:r>
      <w:r>
        <w:t xml:space="preserve">, axial dispersion is much greater than molecular diffusion due to turbulent fluctuations in both velocity and concentration, the effect of which is to create a broader more dispersed front. This was evidenced in this study from the GAC1 </w:t>
      </w:r>
      <w:r>
        <w:lastRenderedPageBreak/>
        <w:t xml:space="preserve">and GAC5 breakthrough curves (Figure </w:t>
      </w:r>
      <w:r w:rsidR="007D4A54">
        <w:t>4</w:t>
      </w:r>
      <w:r>
        <w:t xml:space="preserve">) which represent operation at </w:t>
      </w:r>
      <w:r w:rsidRPr="0070565F">
        <w:rPr>
          <w:i/>
        </w:rPr>
        <w:t>Re</w:t>
      </w:r>
      <w:r>
        <w:t xml:space="preserve"> greater than </w:t>
      </w:r>
      <w:r w:rsidR="008C0058">
        <w:t>81</w:t>
      </w:r>
      <w:r>
        <w:t xml:space="preserve">. Comparison of Si distribution within exhausted GAC media collected from contactors operated within high and low </w:t>
      </w:r>
      <w:r w:rsidRPr="0070565F">
        <w:rPr>
          <w:i/>
        </w:rPr>
        <w:t>Re</w:t>
      </w:r>
      <w:r>
        <w:t xml:space="preserve"> conditions further suggests that greater utilisation of the media is achievable at higher </w:t>
      </w:r>
      <w:r w:rsidRPr="0070565F">
        <w:rPr>
          <w:i/>
        </w:rPr>
        <w:t>Re</w:t>
      </w:r>
      <w:r>
        <w:t xml:space="preserve"> (Figure </w:t>
      </w:r>
      <w:r w:rsidR="007D4A54">
        <w:t>5</w:t>
      </w:r>
      <w:r>
        <w:t>). To illustrate the economic impact, GAC4 currently requires 14.6 media replacement cycles per annum which, based on a GAC replacement cost of €1.5 kgGAC</w:t>
      </w:r>
      <w:r w:rsidRPr="0070565F">
        <w:rPr>
          <w:vertAlign w:val="superscript"/>
        </w:rPr>
        <w:t>-1</w:t>
      </w:r>
      <w:r>
        <w:t xml:space="preserve">, costs €43,800. Operation at higher </w:t>
      </w:r>
      <w:r w:rsidRPr="0070565F">
        <w:rPr>
          <w:i/>
        </w:rPr>
        <w:t>Re</w:t>
      </w:r>
      <w:r>
        <w:t xml:space="preserve"> conditions (equivalent to GAC1) would reduce the number of replacement cycles to 5.57 cycles (€16,710) which represents a saving of €27,090 (62%).</w:t>
      </w:r>
    </w:p>
    <w:p w:rsidR="009E11C2" w:rsidRPr="00C05173" w:rsidRDefault="009E11C2" w:rsidP="008C0058">
      <w:pPr>
        <w:spacing w:before="0"/>
      </w:pPr>
    </w:p>
    <w:p w:rsidR="00125233" w:rsidRPr="00880A08" w:rsidRDefault="00125233" w:rsidP="008C0058">
      <w:pPr>
        <w:pStyle w:val="Heading1"/>
        <w:numPr>
          <w:ilvl w:val="0"/>
          <w:numId w:val="10"/>
        </w:numPr>
        <w:spacing w:after="0" w:line="480" w:lineRule="auto"/>
        <w:ind w:left="709" w:hanging="709"/>
        <w:jc w:val="both"/>
      </w:pPr>
      <w:bookmarkStart w:id="6" w:name="_Toc345320644"/>
      <w:r w:rsidRPr="00880A08">
        <w:t>Conclusions</w:t>
      </w:r>
      <w:bookmarkEnd w:id="6"/>
    </w:p>
    <w:p w:rsidR="009B6596" w:rsidRPr="009B6596" w:rsidRDefault="009B6596" w:rsidP="009B6596">
      <w:pPr>
        <w:spacing w:before="0"/>
        <w:rPr>
          <w:b/>
          <w:i/>
        </w:rPr>
      </w:pPr>
      <w:r>
        <w:t>In this study, online FTIR has enabled the first comprehensive characterisation of full scale carbon contactors for siloxane removal from biogas. Within the initial stages of the exhaustion cycle</w:t>
      </w:r>
      <w:r w:rsidR="005A3DC6">
        <w:t>,</w:t>
      </w:r>
      <w:r>
        <w:t xml:space="preserve"> an initial period of pseudo steady state was observed where outlet siloxane concentration was consistently below the proposed siloxane limits despite marked variation in </w:t>
      </w:r>
      <w:r w:rsidR="00913B29">
        <w:t xml:space="preserve">inlet </w:t>
      </w:r>
      <w:r>
        <w:t xml:space="preserve">siloxane concentration. </w:t>
      </w:r>
      <w:r w:rsidR="00913B29">
        <w:t xml:space="preserve">Following this period, </w:t>
      </w:r>
      <w:r w:rsidR="00FF5116">
        <w:t xml:space="preserve">siloxane </w:t>
      </w:r>
      <w:r>
        <w:t>breakthrough</w:t>
      </w:r>
      <w:r w:rsidR="00FF5116">
        <w:t xml:space="preserve"> occurs quickly and is exacerbated when contactors are operated at low Reynolds numbers due to axial dispersion effects. </w:t>
      </w:r>
      <w:r>
        <w:t>Due to the sharp breakthrough front</w:t>
      </w:r>
      <w:r w:rsidR="005A3DC6">
        <w:t>s</w:t>
      </w:r>
      <w:r>
        <w:t xml:space="preserve"> identified, existing detection methods </w:t>
      </w:r>
      <w:r w:rsidR="005A3DC6">
        <w:t xml:space="preserve">are insufficiently robust at defining siloxane breakthrough which results in continued contactor operation regardless of the diminished siloxane separation performance. Application of on-line FTIR for management of contactors therefore presents a real opportunity to enhance CHP engine protection. Lower than expected specific media capacities arise from co-separation of </w:t>
      </w:r>
      <w:r w:rsidR="005A3DC6">
        <w:lastRenderedPageBreak/>
        <w:t xml:space="preserve">both alkanes and aromatics. However, greater specific media capacity is accessible </w:t>
      </w:r>
      <w:r>
        <w:t xml:space="preserve">through operating contactors at velocities sufficient to diminish axial dispersion effects. </w:t>
      </w:r>
    </w:p>
    <w:p w:rsidR="003A79D8" w:rsidRDefault="003A79D8" w:rsidP="00C05173">
      <w:pPr>
        <w:pStyle w:val="Heading1"/>
        <w:numPr>
          <w:ilvl w:val="0"/>
          <w:numId w:val="0"/>
        </w:numPr>
        <w:jc w:val="both"/>
      </w:pPr>
    </w:p>
    <w:p w:rsidR="004858CD" w:rsidRDefault="004858CD" w:rsidP="004858CD">
      <w:pPr>
        <w:pStyle w:val="Heading1"/>
        <w:numPr>
          <w:ilvl w:val="0"/>
          <w:numId w:val="0"/>
        </w:numPr>
        <w:jc w:val="left"/>
      </w:pPr>
      <w:r>
        <w:t>Acknowledgements</w:t>
      </w:r>
    </w:p>
    <w:p w:rsidR="004858CD" w:rsidRDefault="004858CD" w:rsidP="004858CD">
      <w:r>
        <w:t xml:space="preserve">The authors would like to thank the Engineering and Physical </w:t>
      </w:r>
      <w:r w:rsidR="009E11C2">
        <w:t xml:space="preserve">Sciences </w:t>
      </w:r>
      <w:r>
        <w:t>Research Council</w:t>
      </w:r>
      <w:r w:rsidR="009E11C2">
        <w:t xml:space="preserve"> (EPSRC)</w:t>
      </w:r>
      <w:r>
        <w:t xml:space="preserve"> and Severn Tre</w:t>
      </w:r>
      <w:r w:rsidR="009E11C2">
        <w:t>nt PLC for funding this project.</w:t>
      </w:r>
      <w:r>
        <w:t xml:space="preserve">  </w:t>
      </w:r>
    </w:p>
    <w:p w:rsidR="00215950" w:rsidRDefault="00215950" w:rsidP="009E11C2">
      <w:pPr>
        <w:pStyle w:val="Heading1"/>
        <w:numPr>
          <w:ilvl w:val="0"/>
          <w:numId w:val="0"/>
        </w:numPr>
        <w:spacing w:after="0" w:line="480" w:lineRule="auto"/>
        <w:ind w:left="432" w:hanging="432"/>
        <w:jc w:val="both"/>
      </w:pPr>
    </w:p>
    <w:p w:rsidR="00C42D4D" w:rsidRPr="00F03021" w:rsidRDefault="00C42D4D" w:rsidP="009E11C2">
      <w:pPr>
        <w:pStyle w:val="Heading1"/>
        <w:numPr>
          <w:ilvl w:val="0"/>
          <w:numId w:val="0"/>
        </w:numPr>
        <w:spacing w:after="0" w:line="480" w:lineRule="auto"/>
        <w:ind w:left="432" w:hanging="432"/>
        <w:jc w:val="both"/>
      </w:pPr>
      <w:r w:rsidRPr="00F03021">
        <w:t>References</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fldChar w:fldCharType="begin"/>
      </w:r>
      <w:r>
        <w:instrText>ADDIN RW.BIB</w:instrText>
      </w:r>
      <w:r>
        <w:fldChar w:fldCharType="separate"/>
      </w:r>
      <w:r>
        <w:rPr>
          <w:rFonts w:ascii="Cambria" w:hAnsi="Cambria"/>
        </w:rPr>
        <w:t xml:space="preserve">Accettola, F., Guebitz, G. M. and Schoeftner, R. (2008), "Siloxane removal from biogas by biofiltration: Biodegradation studies", </w:t>
      </w:r>
      <w:r>
        <w:rPr>
          <w:rFonts w:ascii="Cambria" w:hAnsi="Cambria"/>
          <w:i/>
          <w:iCs/>
        </w:rPr>
        <w:t xml:space="preserve">Clean Technologies and Environmental Policy, </w:t>
      </w:r>
      <w:r>
        <w:rPr>
          <w:rFonts w:ascii="Cambria" w:hAnsi="Cambria"/>
        </w:rPr>
        <w:t xml:space="preserve">vol. 10, no. 2, pp. 211-218.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Ajhar, M., Travesset, M., Yüce, S. and Melin, T. (2010a), "Siloxane removal from landfill and digester gas - A technology overview", </w:t>
      </w:r>
      <w:r>
        <w:rPr>
          <w:rFonts w:ascii="Cambria" w:hAnsi="Cambria"/>
          <w:i/>
          <w:iCs/>
        </w:rPr>
        <w:t xml:space="preserve">Bioresource technology, </w:t>
      </w:r>
      <w:r>
        <w:rPr>
          <w:rFonts w:ascii="Cambria" w:hAnsi="Cambria"/>
        </w:rPr>
        <w:t xml:space="preserve">vol. 101, no. 9, pp. 2913-2923.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Ajhar, M., Wens, B., Stollenwerk, K. H., Spalding, G., Yüce, S. and Melin, T. (2010b), "Suitability of Tedlar® gas sampling bags for siloxane quantification in landfill gas", </w:t>
      </w:r>
      <w:r>
        <w:rPr>
          <w:rFonts w:ascii="Cambria" w:hAnsi="Cambria"/>
          <w:i/>
          <w:iCs/>
        </w:rPr>
        <w:t xml:space="preserve">Talanta, </w:t>
      </w:r>
      <w:r>
        <w:rPr>
          <w:rFonts w:ascii="Cambria" w:hAnsi="Cambria"/>
        </w:rPr>
        <w:t xml:space="preserve">vol. 82, no. 1, pp. 92-98.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Armenante, P. M. (2012), </w:t>
      </w:r>
      <w:r>
        <w:rPr>
          <w:rFonts w:ascii="Cambria" w:hAnsi="Cambria"/>
          <w:i/>
          <w:iCs/>
        </w:rPr>
        <w:t xml:space="preserve">Adsorption with granular activated carbon, </w:t>
      </w:r>
      <w:r>
        <w:rPr>
          <w:rFonts w:ascii="Cambria" w:hAnsi="Cambria"/>
        </w:rPr>
        <w:t xml:space="preserve">, Available at </w:t>
      </w:r>
      <w:hyperlink r:id="rId12" w:tgtFrame="_blank" w:history="1">
        <w:r>
          <w:rPr>
            <w:rStyle w:val="Hyperlink"/>
            <w:rFonts w:ascii="Cambria" w:hAnsi="Cambria"/>
          </w:rPr>
          <w:t>http://cpe.njit.edu/dlnotes/CHE685/Cls12-1.pdf</w:t>
        </w:r>
      </w:hyperlink>
      <w:r>
        <w:rPr>
          <w:rFonts w:ascii="Cambria" w:hAnsi="Cambria"/>
        </w:rPr>
        <w:t xml:space="preserve"> Accessed on 28/01/2013.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Crittenden, B. and Thomas, W. J. (1998), </w:t>
      </w:r>
      <w:r>
        <w:rPr>
          <w:rFonts w:ascii="Cambria" w:hAnsi="Cambria"/>
          <w:i/>
          <w:iCs/>
        </w:rPr>
        <w:t xml:space="preserve">Adsorption Technology and Design, </w:t>
      </w:r>
      <w:r>
        <w:rPr>
          <w:rFonts w:ascii="Cambria" w:hAnsi="Cambria"/>
        </w:rPr>
        <w:t xml:space="preserve">Butterworth-Heinenmann, Oxford.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lastRenderedPageBreak/>
        <w:t xml:space="preserve">Hayes, H. C., Graening, G. J., Saeed, S. and Kao, S. (2003), "A summary of available analytical methods for the determination of siloxanes in biogas", 2003, Tampa, Florida, .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IEG Technologies UK (2012), </w:t>
      </w:r>
      <w:r>
        <w:rPr>
          <w:rFonts w:ascii="Cambria" w:hAnsi="Cambria"/>
          <w:i/>
          <w:iCs/>
        </w:rPr>
        <w:t xml:space="preserve">IEG Technical Briefing Note No.11 - Granular Activted Carbon Adsorbent Systems - IEG GAC-Sorb, </w:t>
      </w:r>
      <w:r>
        <w:rPr>
          <w:rFonts w:ascii="Cambria" w:hAnsi="Cambria"/>
        </w:rPr>
        <w:t xml:space="preserve">, Available at: </w:t>
      </w:r>
      <w:hyperlink r:id="rId13" w:tgtFrame="_blank" w:history="1">
        <w:r>
          <w:rPr>
            <w:rStyle w:val="Hyperlink"/>
            <w:rFonts w:ascii="Cambria" w:hAnsi="Cambria"/>
          </w:rPr>
          <w:t>http://www.ieg-technology.com/index2.php?option=com_docman&amp;task=doc_view&amp;gid=81&amp;Itemid=90</w:t>
        </w:r>
      </w:hyperlink>
      <w:r>
        <w:rPr>
          <w:rFonts w:ascii="Cambria" w:hAnsi="Cambria"/>
        </w:rPr>
        <w:t xml:space="preserve"> Accessed on 02/08/2013.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Jacobi Carbons (2012), </w:t>
      </w:r>
      <w:r>
        <w:rPr>
          <w:rFonts w:ascii="Cambria" w:hAnsi="Cambria"/>
          <w:i/>
          <w:iCs/>
        </w:rPr>
        <w:t xml:space="preserve">Impregnated activated carbon for the adsorption of inorganic gases, </w:t>
      </w:r>
      <w:r>
        <w:rPr>
          <w:rFonts w:ascii="Cambria" w:hAnsi="Cambria"/>
        </w:rPr>
        <w:t>, Publicity brochure. Available at:</w:t>
      </w:r>
      <w:hyperlink r:id="rId14" w:tgtFrame="_blank" w:history="1">
        <w:r>
          <w:rPr>
            <w:rStyle w:val="Hyperlink"/>
            <w:rFonts w:ascii="Cambria" w:hAnsi="Cambria"/>
          </w:rPr>
          <w:t>http://www.flexibulk.co.uk/flexibulk_web/download/46580_Add.pdf</w:t>
        </w:r>
      </w:hyperlink>
      <w:r>
        <w:rPr>
          <w:rFonts w:ascii="Cambria" w:hAnsi="Cambria"/>
        </w:rPr>
        <w:t xml:space="preserve"> Accessed on 02/08/2013.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Knaebel, K. S. (2000), </w:t>
      </w:r>
      <w:r>
        <w:rPr>
          <w:rFonts w:ascii="Cambria" w:hAnsi="Cambria"/>
          <w:i/>
          <w:iCs/>
        </w:rPr>
        <w:t xml:space="preserve">A "how to" guide for adsorber design, </w:t>
      </w:r>
      <w:r>
        <w:rPr>
          <w:rFonts w:ascii="Cambria" w:hAnsi="Cambria"/>
        </w:rPr>
        <w:t xml:space="preserve">Adsorption Research, Inc, Dublin, Ohio.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Ohannessian, A., Desjardin, V., Chatain, V. and Germain, P. (2008), "Volatile organic silicon compounds: The most undesirable contaminants in biogases", </w:t>
      </w:r>
      <w:r>
        <w:rPr>
          <w:rFonts w:ascii="Cambria" w:hAnsi="Cambria"/>
          <w:i/>
          <w:iCs/>
        </w:rPr>
        <w:t xml:space="preserve">Water Science and Technology, </w:t>
      </w:r>
      <w:r>
        <w:rPr>
          <w:rFonts w:ascii="Cambria" w:hAnsi="Cambria"/>
        </w:rPr>
        <w:t xml:space="preserve">vol. 58, no. 9, pp. 1775-1781.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Parliamentary Office of Science and Technology (2007), </w:t>
      </w:r>
      <w:r>
        <w:rPr>
          <w:rFonts w:ascii="Cambria" w:hAnsi="Cambria"/>
          <w:i/>
          <w:iCs/>
        </w:rPr>
        <w:t xml:space="preserve">Postnote number 282: Energy and Sewage, </w:t>
      </w:r>
      <w:r>
        <w:rPr>
          <w:rFonts w:ascii="Cambria" w:hAnsi="Cambria"/>
        </w:rPr>
        <w:t xml:space="preserve">.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Perry, R. H. and Green, D. W. (1998), </w:t>
      </w:r>
      <w:r>
        <w:rPr>
          <w:rFonts w:ascii="Cambria" w:hAnsi="Cambria"/>
          <w:i/>
          <w:iCs/>
        </w:rPr>
        <w:t xml:space="preserve">Perry's Chemical Engineers' Handbook, </w:t>
      </w:r>
      <w:r>
        <w:rPr>
          <w:rFonts w:ascii="Cambria" w:hAnsi="Cambria"/>
        </w:rPr>
        <w:t xml:space="preserve">7th ed, McGraw-Hill.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lastRenderedPageBreak/>
        <w:t xml:space="preserve">Schweigkofler, M. and Niessner, R. (1999), "Determination of siloxanes and VOC in landfill gas and sewage gas by canister sampling and GC-MS/AES analysis", </w:t>
      </w:r>
      <w:r>
        <w:rPr>
          <w:rFonts w:ascii="Cambria" w:hAnsi="Cambria"/>
          <w:i/>
          <w:iCs/>
        </w:rPr>
        <w:t xml:space="preserve">Environmental Science and Technology, </w:t>
      </w:r>
      <w:r>
        <w:rPr>
          <w:rFonts w:ascii="Cambria" w:hAnsi="Cambria"/>
        </w:rPr>
        <w:t xml:space="preserve">vol. 33, no. 20, pp. 3680-3685.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Schweigkofler, M. and Niessner, R. (2001), "Removal of siloxanes in biogases", </w:t>
      </w:r>
      <w:r>
        <w:rPr>
          <w:rFonts w:ascii="Cambria" w:hAnsi="Cambria"/>
          <w:i/>
          <w:iCs/>
        </w:rPr>
        <w:t xml:space="preserve">Journal of hazardous materials, </w:t>
      </w:r>
      <w:r>
        <w:rPr>
          <w:rFonts w:ascii="Cambria" w:hAnsi="Cambria"/>
        </w:rPr>
        <w:t xml:space="preserve">vol. 83, no. 3, pp. 183-196.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Seader, J. D. and Henley, E. J. (1998), </w:t>
      </w:r>
      <w:r>
        <w:rPr>
          <w:rFonts w:ascii="Cambria" w:hAnsi="Cambria"/>
          <w:i/>
          <w:iCs/>
        </w:rPr>
        <w:t xml:space="preserve">Seperation process principles, </w:t>
      </w:r>
      <w:r>
        <w:rPr>
          <w:rFonts w:ascii="Cambria" w:hAnsi="Cambria"/>
        </w:rPr>
        <w:t xml:space="preserve">John Wiley and Sons, Danvers, MA.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Tower, P. (2003), "Removal of siloxanes from landfill gas by SAGTM polymorphous porous graphite treatment systems", </w:t>
      </w:r>
      <w:r>
        <w:rPr>
          <w:rFonts w:ascii="Cambria" w:hAnsi="Cambria"/>
          <w:i/>
          <w:iCs/>
        </w:rPr>
        <w:t xml:space="preserve">SWANA 26th landfill gas symposium, </w:t>
      </w:r>
      <w:r>
        <w:rPr>
          <w:rFonts w:ascii="Cambria" w:hAnsi="Cambria"/>
        </w:rPr>
        <w:t xml:space="preserve">27 March, Solid Waste Association of North America, Florida, .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Tower, P. (2005), </w:t>
      </w:r>
      <w:r>
        <w:rPr>
          <w:rFonts w:ascii="Cambria" w:hAnsi="Cambria"/>
          <w:i/>
          <w:iCs/>
        </w:rPr>
        <w:t xml:space="preserve">The cost impact of biogas siloxane contamination, </w:t>
      </w:r>
      <w:r>
        <w:rPr>
          <w:rFonts w:ascii="Cambria" w:hAnsi="Cambria"/>
        </w:rPr>
        <w:t xml:space="preserve">, Presentation at Intermountain CHP Centre workshop in Salt Lake City (11/08/2005).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Tower, P. M. and Wetzel, J. V. (2004), </w:t>
      </w:r>
      <w:r>
        <w:rPr>
          <w:rFonts w:ascii="Cambria" w:hAnsi="Cambria"/>
          <w:i/>
          <w:iCs/>
        </w:rPr>
        <w:t xml:space="preserve">Reducing biogas power generation costs by removal of siloxanes, </w:t>
      </w:r>
      <w:r>
        <w:rPr>
          <w:rFonts w:ascii="Cambria" w:hAnsi="Cambria"/>
        </w:rPr>
        <w:t xml:space="preserve">Applied Filter Technology, Available at </w:t>
      </w:r>
      <w:hyperlink r:id="rId15" w:tgtFrame="_blank" w:history="1">
        <w:r>
          <w:rPr>
            <w:rStyle w:val="Hyperlink"/>
            <w:rFonts w:ascii="Cambria" w:hAnsi="Cambria"/>
          </w:rPr>
          <w:t>http://appliedfilter.com/biogas-filtration-technology/biogas-research/index.html</w:t>
        </w:r>
      </w:hyperlink>
      <w:r>
        <w:rPr>
          <w:rFonts w:ascii="Cambria" w:hAnsi="Cambria"/>
        </w:rPr>
        <w:t xml:space="preserve"> Accessed on 02/12/2011. </w:t>
      </w:r>
    </w:p>
    <w:p w:rsidR="00C57B3B" w:rsidRDefault="00C57B3B" w:rsidP="009E11C2">
      <w:pPr>
        <w:pStyle w:val="NormalWeb"/>
        <w:spacing w:before="0" w:beforeAutospacing="0" w:after="0" w:afterAutospacing="0" w:line="480" w:lineRule="auto"/>
        <w:ind w:left="450" w:hanging="450"/>
        <w:jc w:val="both"/>
        <w:divId w:val="145975201"/>
        <w:rPr>
          <w:rFonts w:ascii="Cambria" w:hAnsi="Cambria"/>
        </w:rPr>
      </w:pPr>
      <w:r>
        <w:rPr>
          <w:rFonts w:ascii="Arial" w:hAnsi="Arial" w:cs="Arial"/>
          <w:color w:val="333333"/>
        </w:rPr>
        <w:t xml:space="preserve">Tower, P.M. and Wetzel, J.V. (2006), </w:t>
      </w:r>
      <w:r w:rsidRPr="00C57B3B">
        <w:rPr>
          <w:color w:val="333333"/>
        </w:rPr>
        <w:t>Making Power Generation Make Sense by Removing Siloxanes from Digester Gas</w:t>
      </w:r>
      <w:r>
        <w:rPr>
          <w:color w:val="333333"/>
        </w:rPr>
        <w:t xml:space="preserve">, </w:t>
      </w:r>
      <w:r>
        <w:rPr>
          <w:rFonts w:ascii="Arial" w:hAnsi="Arial" w:cs="Arial"/>
          <w:color w:val="333333"/>
        </w:rPr>
        <w:t>C</w:t>
      </w:r>
      <w:r w:rsidR="00E25E99">
        <w:rPr>
          <w:rFonts w:ascii="Arial" w:hAnsi="Arial" w:cs="Arial"/>
          <w:color w:val="333333"/>
        </w:rPr>
        <w:t xml:space="preserve">alifornia </w:t>
      </w:r>
      <w:r>
        <w:rPr>
          <w:rFonts w:ascii="Arial" w:hAnsi="Arial" w:cs="Arial"/>
          <w:color w:val="333333"/>
        </w:rPr>
        <w:t>W</w:t>
      </w:r>
      <w:r w:rsidR="00E25E99">
        <w:rPr>
          <w:rFonts w:ascii="Arial" w:hAnsi="Arial" w:cs="Arial"/>
          <w:color w:val="333333"/>
        </w:rPr>
        <w:t xml:space="preserve">ater </w:t>
      </w:r>
      <w:r>
        <w:rPr>
          <w:rFonts w:ascii="Arial" w:hAnsi="Arial" w:cs="Arial"/>
          <w:color w:val="333333"/>
        </w:rPr>
        <w:t>E</w:t>
      </w:r>
      <w:r w:rsidR="00E25E99">
        <w:rPr>
          <w:rFonts w:ascii="Arial" w:hAnsi="Arial" w:cs="Arial"/>
          <w:color w:val="333333"/>
        </w:rPr>
        <w:t xml:space="preserve">nvironment </w:t>
      </w:r>
      <w:r>
        <w:rPr>
          <w:rFonts w:ascii="Arial" w:hAnsi="Arial" w:cs="Arial"/>
          <w:color w:val="333333"/>
        </w:rPr>
        <w:t>A</w:t>
      </w:r>
      <w:r w:rsidR="00E25E99">
        <w:rPr>
          <w:rFonts w:ascii="Arial" w:hAnsi="Arial" w:cs="Arial"/>
          <w:color w:val="333333"/>
        </w:rPr>
        <w:t xml:space="preserve">ssociation </w:t>
      </w:r>
      <w:r>
        <w:rPr>
          <w:rFonts w:ascii="Arial" w:hAnsi="Arial" w:cs="Arial"/>
          <w:color w:val="333333"/>
        </w:rPr>
        <w:t>Conference, Apr. 4-7,</w:t>
      </w:r>
      <w:r w:rsidR="00E25E99">
        <w:rPr>
          <w:rFonts w:ascii="Arial" w:hAnsi="Arial" w:cs="Arial"/>
          <w:color w:val="333333"/>
        </w:rPr>
        <w:t xml:space="preserve"> Sacramento, US.</w:t>
      </w:r>
      <w:r>
        <w:rPr>
          <w:rFonts w:ascii="Arial" w:hAnsi="Arial" w:cs="Arial"/>
          <w:color w:val="333333"/>
        </w:rPr>
        <w:t xml:space="preserve">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U.S. Army Corps of Engineers (2001), </w:t>
      </w:r>
      <w:r>
        <w:rPr>
          <w:rFonts w:ascii="Cambria" w:hAnsi="Cambria"/>
          <w:i/>
          <w:iCs/>
        </w:rPr>
        <w:t xml:space="preserve">Design guide no. 1110-1-2: Adsorption design guide, </w:t>
      </w:r>
      <w:r>
        <w:rPr>
          <w:rFonts w:ascii="Cambria" w:hAnsi="Cambria"/>
        </w:rPr>
        <w:t xml:space="preserve">.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lastRenderedPageBreak/>
        <w:t xml:space="preserve">Welty, J. R., Wicks, C. E., Wilson, R. E. and Rorrer, G. (2001), </w:t>
      </w:r>
      <w:r>
        <w:rPr>
          <w:rFonts w:ascii="Cambria" w:hAnsi="Cambria"/>
          <w:i/>
          <w:iCs/>
        </w:rPr>
        <w:t xml:space="preserve">Fundamentals of momentum, heat and mass transfer, </w:t>
      </w:r>
      <w:r>
        <w:rPr>
          <w:rFonts w:ascii="Cambria" w:hAnsi="Cambria"/>
        </w:rPr>
        <w:t xml:space="preserve">4th ed, John Wiley and Sons, New York. </w:t>
      </w:r>
    </w:p>
    <w:p w:rsidR="00C14CBE" w:rsidRDefault="00C14CBE" w:rsidP="009E11C2">
      <w:pPr>
        <w:pStyle w:val="NormalWeb"/>
        <w:spacing w:before="0" w:beforeAutospacing="0" w:after="0" w:afterAutospacing="0" w:line="480" w:lineRule="auto"/>
        <w:ind w:left="450" w:hanging="450"/>
        <w:jc w:val="both"/>
        <w:divId w:val="145975201"/>
        <w:rPr>
          <w:rFonts w:ascii="Cambria" w:hAnsi="Cambria"/>
        </w:rPr>
      </w:pPr>
      <w:r>
        <w:rPr>
          <w:rFonts w:ascii="Cambria" w:hAnsi="Cambria"/>
        </w:rPr>
        <w:t xml:space="preserve">Wheless, E. and Pierce, J. (2004), "Siloxanes in landfill and digester gas update", </w:t>
      </w:r>
      <w:r>
        <w:rPr>
          <w:rFonts w:ascii="Cambria" w:hAnsi="Cambria"/>
          <w:i/>
          <w:iCs/>
        </w:rPr>
        <w:t xml:space="preserve">SWANA 27th Landfill Gas Conference, </w:t>
      </w:r>
      <w:r>
        <w:rPr>
          <w:rFonts w:ascii="Cambria" w:hAnsi="Cambria"/>
        </w:rPr>
        <w:t xml:space="preserve">22-25 March 2004, San Antonio, Texas, . </w:t>
      </w:r>
    </w:p>
    <w:p w:rsidR="00215950" w:rsidRDefault="00C14CBE" w:rsidP="00215950">
      <w:r>
        <w:fldChar w:fldCharType="end"/>
      </w:r>
    </w:p>
    <w:p w:rsidR="00215950" w:rsidRDefault="00215950" w:rsidP="00215950">
      <w:proofErr w:type="gramStart"/>
      <w:r>
        <w:t>D.J. Gunn (1987).</w:t>
      </w:r>
      <w:proofErr w:type="gramEnd"/>
      <w:r>
        <w:t xml:space="preserve"> </w:t>
      </w:r>
      <w:proofErr w:type="gramStart"/>
      <w:r>
        <w:t>Axial and radial dispersion in fixed beds.</w:t>
      </w:r>
      <w:proofErr w:type="gramEnd"/>
      <w:r>
        <w:t xml:space="preserve"> Chemical Engineering Science, 42, 363-373.</w:t>
      </w:r>
    </w:p>
    <w:p w:rsidR="00215950" w:rsidRDefault="00215950" w:rsidP="00215950">
      <w:r>
        <w:t xml:space="preserve">H. Martin (1978). </w:t>
      </w:r>
      <w:proofErr w:type="gramStart"/>
      <w:r>
        <w:t xml:space="preserve">Low </w:t>
      </w:r>
      <w:proofErr w:type="spellStart"/>
      <w:r>
        <w:t>Peclet</w:t>
      </w:r>
      <w:proofErr w:type="spellEnd"/>
      <w:r>
        <w:t xml:space="preserve"> number particle-to-fluid heat and mass transfer in packed beds.</w:t>
      </w:r>
      <w:proofErr w:type="gramEnd"/>
      <w:r>
        <w:t xml:space="preserve"> Chemical Engineering Science, 33, 913-919.</w:t>
      </w:r>
    </w:p>
    <w:p w:rsidR="00215950" w:rsidRDefault="00215950" w:rsidP="00215950">
      <w:r>
        <w:t xml:space="preserve">N. </w:t>
      </w:r>
      <w:proofErr w:type="spellStart"/>
      <w:r>
        <w:t>Wakao</w:t>
      </w:r>
      <w:proofErr w:type="spellEnd"/>
      <w:r>
        <w:t xml:space="preserve">, T. </w:t>
      </w:r>
      <w:proofErr w:type="spellStart"/>
      <w:r>
        <w:t>Funaszkri</w:t>
      </w:r>
      <w:proofErr w:type="spellEnd"/>
      <w:r>
        <w:t xml:space="preserve"> (1978). Effect of fluid dispersion coefficients on particle-to-fluid mass transfer coefficients in packed beds. Chemical Engineering Science, 33, 1375-1384.</w:t>
      </w:r>
    </w:p>
    <w:p w:rsidR="00215950" w:rsidRDefault="00215950" w:rsidP="00215950">
      <w:r>
        <w:t xml:space="preserve">J.C. urban, A. </w:t>
      </w:r>
      <w:proofErr w:type="spellStart"/>
      <w:r>
        <w:t>Gomezplata</w:t>
      </w:r>
      <w:proofErr w:type="spellEnd"/>
      <w:r>
        <w:t xml:space="preserve"> (1969). </w:t>
      </w:r>
      <w:proofErr w:type="gramStart"/>
      <w:r>
        <w:t>Axial dispersion coefficients in packed beds at low Reynolds numbers.</w:t>
      </w:r>
      <w:proofErr w:type="gramEnd"/>
      <w:r>
        <w:t xml:space="preserve"> The Canadian Journal of Chemical Engineering, 47, 353-359.</w:t>
      </w:r>
    </w:p>
    <w:p w:rsidR="00215950" w:rsidRDefault="00215950" w:rsidP="00215950">
      <w:r>
        <w:t>E. Cussler (2011). Diffusion: Mass transfer in fluid systems. Cambridge University Press, New York.</w:t>
      </w:r>
    </w:p>
    <w:p w:rsidR="00215950" w:rsidRPr="00215950" w:rsidRDefault="00215950" w:rsidP="00215950">
      <w:r w:rsidRPr="00215950">
        <w:t xml:space="preserve">T. </w:t>
      </w:r>
      <w:proofErr w:type="spellStart"/>
      <w:r w:rsidRPr="00215950">
        <w:t>Miyauchi</w:t>
      </w:r>
      <w:proofErr w:type="spellEnd"/>
      <w:r w:rsidRPr="00215950">
        <w:t xml:space="preserve">, H. </w:t>
      </w:r>
      <w:proofErr w:type="spellStart"/>
      <w:r w:rsidRPr="00215950">
        <w:t>Kataoka</w:t>
      </w:r>
      <w:proofErr w:type="spellEnd"/>
      <w:r w:rsidRPr="00215950">
        <w:t xml:space="preserve">, T. Kikuchi (1976). </w:t>
      </w:r>
      <w:r w:rsidRPr="00215950">
        <w:rPr>
          <w:bCs/>
        </w:rPr>
        <w:t xml:space="preserve">Gas film coefficient of mass transfer in low </w:t>
      </w:r>
      <w:proofErr w:type="spellStart"/>
      <w:r w:rsidRPr="00215950">
        <w:rPr>
          <w:bCs/>
        </w:rPr>
        <w:t>Péclet</w:t>
      </w:r>
      <w:proofErr w:type="spellEnd"/>
      <w:r w:rsidRPr="00215950">
        <w:rPr>
          <w:bCs/>
        </w:rPr>
        <w:t xml:space="preserve"> number region for sphere packed beds</w:t>
      </w:r>
      <w:r w:rsidRPr="00215950">
        <w:rPr>
          <w:rFonts w:cs="Arial"/>
        </w:rPr>
        <w:t xml:space="preserve">. </w:t>
      </w:r>
      <w:r w:rsidRPr="00215950">
        <w:t>Chemical Engineering Science, 31, 9-13.</w:t>
      </w:r>
      <w:r w:rsidRPr="00215950">
        <w:rPr>
          <w:rFonts w:cs="Arial"/>
        </w:rPr>
        <w:t xml:space="preserve"> </w:t>
      </w:r>
    </w:p>
    <w:p w:rsidR="00466AD6" w:rsidRPr="00C05173" w:rsidRDefault="00466AD6" w:rsidP="009E11C2">
      <w:pPr>
        <w:spacing w:before="0"/>
      </w:pPr>
    </w:p>
    <w:sectPr w:rsidR="00466AD6" w:rsidRPr="00C05173" w:rsidSect="00F91BBB">
      <w:headerReference w:type="default" r:id="rId16"/>
      <w:footerReference w:type="default" r:id="rId17"/>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BA0" w:rsidRDefault="00DA2BA0">
      <w:pPr>
        <w:spacing w:before="0" w:line="240" w:lineRule="auto"/>
      </w:pPr>
      <w:r>
        <w:separator/>
      </w:r>
    </w:p>
  </w:endnote>
  <w:endnote w:type="continuationSeparator" w:id="0">
    <w:p w:rsidR="00DA2BA0" w:rsidRDefault="00DA2BA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ranklinGothic-Book">
    <w:panose1 w:val="00000000000000000000"/>
    <w:charset w:val="00"/>
    <w:family w:val="auto"/>
    <w:notTrueType/>
    <w:pitch w:val="default"/>
    <w:sig w:usb0="00000003" w:usb1="00000000" w:usb2="00000000" w:usb3="00000000" w:csb0="00000001" w:csb1="00000000"/>
  </w:font>
  <w:font w:name="AdvGulliv-R">
    <w:altName w:val="MS Mincho"/>
    <w:panose1 w:val="00000000000000000000"/>
    <w:charset w:val="80"/>
    <w:family w:val="auto"/>
    <w:notTrueType/>
    <w:pitch w:val="default"/>
    <w:sig w:usb0="00000003" w:usb1="08070000" w:usb2="00000010" w:usb3="00000000" w:csb0="00020001" w:csb1="00000000"/>
  </w:font>
  <w:font w:name="Times-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5534233"/>
      <w:docPartObj>
        <w:docPartGallery w:val="Page Numbers (Bottom of Page)"/>
        <w:docPartUnique/>
      </w:docPartObj>
    </w:sdtPr>
    <w:sdtEndPr>
      <w:rPr>
        <w:noProof/>
      </w:rPr>
    </w:sdtEndPr>
    <w:sdtContent>
      <w:p w:rsidR="00C45812" w:rsidRDefault="00C45812" w:rsidP="00C45812">
        <w:pPr>
          <w:autoSpaceDE w:val="0"/>
          <w:autoSpaceDN w:val="0"/>
          <w:adjustRightInd w:val="0"/>
          <w:snapToGrid w:val="0"/>
          <w:spacing w:line="240" w:lineRule="auto"/>
        </w:pPr>
      </w:p>
      <w:p w:rsidR="00C45812" w:rsidRPr="00B27F6E" w:rsidRDefault="00C45812" w:rsidP="00C45812">
        <w:pPr>
          <w:autoSpaceDE w:val="0"/>
          <w:autoSpaceDN w:val="0"/>
          <w:adjustRightInd w:val="0"/>
          <w:snapToGrid w:val="0"/>
          <w:spacing w:line="240" w:lineRule="auto"/>
          <w:rPr>
            <w:rFonts w:ascii="Calibri" w:hAnsi="Calibri"/>
            <w:color w:val="000000"/>
            <w:lang w:val="en-US"/>
          </w:rPr>
        </w:pPr>
        <w:r w:rsidRPr="00B27F6E">
          <w:rPr>
            <w:rFonts w:ascii="Calibri" w:hAnsi="Calibri"/>
            <w:color w:val="000000"/>
            <w:lang w:val="en-US"/>
          </w:rPr>
          <w:t xml:space="preserve">Published by </w:t>
        </w:r>
        <w:r>
          <w:rPr>
            <w:rFonts w:ascii="Calibri" w:hAnsi="Calibri"/>
            <w:color w:val="000000"/>
            <w:lang w:val="en-US"/>
          </w:rPr>
          <w:t xml:space="preserve">Taylor &amp; Francis. This is the </w:t>
        </w:r>
        <w:r w:rsidRPr="00B27F6E">
          <w:rPr>
            <w:rFonts w:ascii="Calibri" w:hAnsi="Calibri"/>
            <w:color w:val="000000"/>
            <w:lang w:val="en-US"/>
          </w:rPr>
          <w:t>Author Accepted Manuscript issued with:</w:t>
        </w:r>
      </w:p>
      <w:p w:rsidR="00C45812" w:rsidRPr="00B27F6E" w:rsidRDefault="00C45812" w:rsidP="00C45812">
        <w:pPr>
          <w:rPr>
            <w:rFonts w:ascii="Calibri" w:hAnsi="Calibri"/>
            <w:color w:val="000000"/>
            <w:lang w:val="en-US"/>
          </w:rPr>
        </w:pPr>
        <w:r w:rsidRPr="00B27F6E">
          <w:rPr>
            <w:rFonts w:ascii="Calibri" w:hAnsi="Calibri"/>
            <w:color w:val="000000"/>
            <w:lang w:val="en-US"/>
          </w:rPr>
          <w:t>Creative Commons Attribution Non-Commercial No Derivatives License (CC</w:t>
        </w:r>
        <w:proofErr w:type="gramStart"/>
        <w:r w:rsidRPr="00B27F6E">
          <w:rPr>
            <w:rFonts w:ascii="Calibri" w:hAnsi="Calibri"/>
            <w:color w:val="000000"/>
            <w:lang w:val="en-US"/>
          </w:rPr>
          <w:t>:BY:NC:ND</w:t>
        </w:r>
        <w:proofErr w:type="gramEnd"/>
        <w:r w:rsidRPr="00B27F6E">
          <w:rPr>
            <w:rFonts w:ascii="Calibri" w:hAnsi="Calibri"/>
            <w:color w:val="000000"/>
            <w:lang w:val="en-US"/>
          </w:rPr>
          <w:t xml:space="preserve"> 3.0).</w:t>
        </w:r>
      </w:p>
      <w:p w:rsidR="00C57B3B" w:rsidRDefault="00C57B3B">
        <w:pPr>
          <w:pStyle w:val="Footer"/>
          <w:jc w:val="right"/>
        </w:pPr>
        <w:r>
          <w:fldChar w:fldCharType="begin"/>
        </w:r>
        <w:r>
          <w:instrText xml:space="preserve"> PAGE   \* MERGEFORMAT </w:instrText>
        </w:r>
        <w:r>
          <w:fldChar w:fldCharType="separate"/>
        </w:r>
        <w:r w:rsidR="00266656">
          <w:rPr>
            <w:noProof/>
          </w:rPr>
          <w:t>1</w:t>
        </w:r>
        <w:r>
          <w:rPr>
            <w:noProof/>
          </w:rPr>
          <w:fldChar w:fldCharType="end"/>
        </w:r>
      </w:p>
    </w:sdtContent>
  </w:sdt>
  <w:p w:rsidR="00C57B3B" w:rsidRDefault="00C57B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BA0" w:rsidRDefault="00DA2BA0">
      <w:pPr>
        <w:spacing w:before="0" w:line="240" w:lineRule="auto"/>
      </w:pPr>
      <w:r>
        <w:separator/>
      </w:r>
    </w:p>
  </w:footnote>
  <w:footnote w:type="continuationSeparator" w:id="0">
    <w:p w:rsidR="00DA2BA0" w:rsidRDefault="00DA2BA0">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B3B" w:rsidRPr="002E243C" w:rsidRDefault="002E243C" w:rsidP="002E243C">
    <w:pPr>
      <w:pStyle w:val="Header"/>
      <w:jc w:val="center"/>
    </w:pPr>
    <w:r>
      <w:t xml:space="preserve">Environmental Technology, 2015, Vol. 36, </w:t>
    </w:r>
    <w:proofErr w:type="spellStart"/>
    <w:r>
      <w:t>Iss</w:t>
    </w:r>
    <w:proofErr w:type="spellEnd"/>
    <w:r>
      <w:t>.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722B"/>
    <w:multiLevelType w:val="hybridMultilevel"/>
    <w:tmpl w:val="1B889D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C277C8"/>
    <w:multiLevelType w:val="hybridMultilevel"/>
    <w:tmpl w:val="13D41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2871C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14DE475A"/>
    <w:multiLevelType w:val="multilevel"/>
    <w:tmpl w:val="17881FF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E1E23AC"/>
    <w:multiLevelType w:val="hybridMultilevel"/>
    <w:tmpl w:val="8CE6E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9A0010"/>
    <w:multiLevelType w:val="hybridMultilevel"/>
    <w:tmpl w:val="D5FEEBE6"/>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0F10D9"/>
    <w:multiLevelType w:val="hybridMultilevel"/>
    <w:tmpl w:val="E12E1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EBC789B"/>
    <w:multiLevelType w:val="hybridMultilevel"/>
    <w:tmpl w:val="AF9A15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E916030"/>
    <w:multiLevelType w:val="multilevel"/>
    <w:tmpl w:val="F8B877E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5A5375A3"/>
    <w:multiLevelType w:val="hybridMultilevel"/>
    <w:tmpl w:val="88B4DAA0"/>
    <w:lvl w:ilvl="0" w:tplc="32206EF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0BE6687"/>
    <w:multiLevelType w:val="multilevel"/>
    <w:tmpl w:val="1C368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7F415C4"/>
    <w:multiLevelType w:val="hybridMultilevel"/>
    <w:tmpl w:val="7932ED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AF97386"/>
    <w:multiLevelType w:val="multilevel"/>
    <w:tmpl w:val="DA86D27A"/>
    <w:lvl w:ilvl="0">
      <w:start w:val="1"/>
      <w:numFmt w:val="decimal"/>
      <w:suff w:val="space"/>
      <w:lvlText w:val="%1"/>
      <w:lvlJc w:val="left"/>
      <w:pPr>
        <w:ind w:left="432" w:hanging="432"/>
      </w:pPr>
      <w:rPr>
        <w:rFonts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3">
    <w:nsid w:val="7BF67120"/>
    <w:multiLevelType w:val="hybridMultilevel"/>
    <w:tmpl w:val="4A9472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
  </w:num>
  <w:num w:numId="3">
    <w:abstractNumId w:val="4"/>
  </w:num>
  <w:num w:numId="4">
    <w:abstractNumId w:val="0"/>
  </w:num>
  <w:num w:numId="5">
    <w:abstractNumId w:val="13"/>
  </w:num>
  <w:num w:numId="6">
    <w:abstractNumId w:val="7"/>
  </w:num>
  <w:num w:numId="7">
    <w:abstractNumId w:val="11"/>
  </w:num>
  <w:num w:numId="8">
    <w:abstractNumId w:val="2"/>
  </w:num>
  <w:num w:numId="9">
    <w:abstractNumId w:val="9"/>
  </w:num>
  <w:num w:numId="10">
    <w:abstractNumId w:val="3"/>
  </w:num>
  <w:num w:numId="11">
    <w:abstractNumId w:val="10"/>
  </w:num>
  <w:num w:numId="12">
    <w:abstractNumId w:val="8"/>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ECB"/>
    <w:rsid w:val="0000256F"/>
    <w:rsid w:val="0000538E"/>
    <w:rsid w:val="000070EC"/>
    <w:rsid w:val="000111D6"/>
    <w:rsid w:val="00011259"/>
    <w:rsid w:val="00015D1C"/>
    <w:rsid w:val="00017124"/>
    <w:rsid w:val="00017F2F"/>
    <w:rsid w:val="000215B6"/>
    <w:rsid w:val="000262AC"/>
    <w:rsid w:val="00032C90"/>
    <w:rsid w:val="000353B3"/>
    <w:rsid w:val="00036441"/>
    <w:rsid w:val="00036EDE"/>
    <w:rsid w:val="00037955"/>
    <w:rsid w:val="00042517"/>
    <w:rsid w:val="00042D91"/>
    <w:rsid w:val="00046E11"/>
    <w:rsid w:val="000478B1"/>
    <w:rsid w:val="00051B46"/>
    <w:rsid w:val="00052F6D"/>
    <w:rsid w:val="00053026"/>
    <w:rsid w:val="000554F6"/>
    <w:rsid w:val="000567EA"/>
    <w:rsid w:val="00056978"/>
    <w:rsid w:val="00071605"/>
    <w:rsid w:val="00073F0C"/>
    <w:rsid w:val="00076D1E"/>
    <w:rsid w:val="00085D6D"/>
    <w:rsid w:val="000874E1"/>
    <w:rsid w:val="000955B3"/>
    <w:rsid w:val="00095A4B"/>
    <w:rsid w:val="0009799A"/>
    <w:rsid w:val="000A17A4"/>
    <w:rsid w:val="000A19CF"/>
    <w:rsid w:val="000A3213"/>
    <w:rsid w:val="000A358E"/>
    <w:rsid w:val="000A521E"/>
    <w:rsid w:val="000A529F"/>
    <w:rsid w:val="000A5B36"/>
    <w:rsid w:val="000A5DF4"/>
    <w:rsid w:val="000A62A7"/>
    <w:rsid w:val="000C0827"/>
    <w:rsid w:val="000C1DD4"/>
    <w:rsid w:val="000C2CA7"/>
    <w:rsid w:val="000C3326"/>
    <w:rsid w:val="000D4180"/>
    <w:rsid w:val="000D46AF"/>
    <w:rsid w:val="000E00CC"/>
    <w:rsid w:val="000E1660"/>
    <w:rsid w:val="000E1BA2"/>
    <w:rsid w:val="000E5638"/>
    <w:rsid w:val="000F19D7"/>
    <w:rsid w:val="000F5C26"/>
    <w:rsid w:val="000F6209"/>
    <w:rsid w:val="001003A9"/>
    <w:rsid w:val="00102045"/>
    <w:rsid w:val="00102103"/>
    <w:rsid w:val="0010304E"/>
    <w:rsid w:val="001038E6"/>
    <w:rsid w:val="001066BD"/>
    <w:rsid w:val="001106B4"/>
    <w:rsid w:val="00110855"/>
    <w:rsid w:val="0012026C"/>
    <w:rsid w:val="00123EDC"/>
    <w:rsid w:val="00125233"/>
    <w:rsid w:val="001324BD"/>
    <w:rsid w:val="00132882"/>
    <w:rsid w:val="00132CF3"/>
    <w:rsid w:val="0013426E"/>
    <w:rsid w:val="0013761E"/>
    <w:rsid w:val="00141B1E"/>
    <w:rsid w:val="0014206F"/>
    <w:rsid w:val="00146602"/>
    <w:rsid w:val="00146C68"/>
    <w:rsid w:val="001507FA"/>
    <w:rsid w:val="00151F82"/>
    <w:rsid w:val="00160307"/>
    <w:rsid w:val="0016075D"/>
    <w:rsid w:val="001615B1"/>
    <w:rsid w:val="00161AAB"/>
    <w:rsid w:val="00166D12"/>
    <w:rsid w:val="00167320"/>
    <w:rsid w:val="001737A7"/>
    <w:rsid w:val="00176570"/>
    <w:rsid w:val="0018638C"/>
    <w:rsid w:val="00186A8C"/>
    <w:rsid w:val="00190C82"/>
    <w:rsid w:val="001924BF"/>
    <w:rsid w:val="00195561"/>
    <w:rsid w:val="00195D55"/>
    <w:rsid w:val="001974F4"/>
    <w:rsid w:val="0019786D"/>
    <w:rsid w:val="001978C9"/>
    <w:rsid w:val="001A103E"/>
    <w:rsid w:val="001A4066"/>
    <w:rsid w:val="001A6C15"/>
    <w:rsid w:val="001B08DA"/>
    <w:rsid w:val="001B0922"/>
    <w:rsid w:val="001B0C6A"/>
    <w:rsid w:val="001B6E59"/>
    <w:rsid w:val="001C068F"/>
    <w:rsid w:val="001C0B0F"/>
    <w:rsid w:val="001C2D7B"/>
    <w:rsid w:val="001C325D"/>
    <w:rsid w:val="001C4CCF"/>
    <w:rsid w:val="001C66A9"/>
    <w:rsid w:val="001C760A"/>
    <w:rsid w:val="001C778F"/>
    <w:rsid w:val="001D40D5"/>
    <w:rsid w:val="001D525A"/>
    <w:rsid w:val="001D752E"/>
    <w:rsid w:val="001F1CD5"/>
    <w:rsid w:val="001F1D22"/>
    <w:rsid w:val="002030C6"/>
    <w:rsid w:val="00205EAA"/>
    <w:rsid w:val="002131DA"/>
    <w:rsid w:val="00215950"/>
    <w:rsid w:val="00215F6E"/>
    <w:rsid w:val="00222A74"/>
    <w:rsid w:val="00222DE9"/>
    <w:rsid w:val="00225DE6"/>
    <w:rsid w:val="00230D4F"/>
    <w:rsid w:val="0023343A"/>
    <w:rsid w:val="00235351"/>
    <w:rsid w:val="002358C7"/>
    <w:rsid w:val="00245F17"/>
    <w:rsid w:val="00252E2E"/>
    <w:rsid w:val="00256113"/>
    <w:rsid w:val="00256938"/>
    <w:rsid w:val="0026129A"/>
    <w:rsid w:val="00263489"/>
    <w:rsid w:val="00263D56"/>
    <w:rsid w:val="00264C52"/>
    <w:rsid w:val="00266656"/>
    <w:rsid w:val="00273326"/>
    <w:rsid w:val="002776DE"/>
    <w:rsid w:val="00283BA0"/>
    <w:rsid w:val="0028575E"/>
    <w:rsid w:val="00285ED2"/>
    <w:rsid w:val="0028628C"/>
    <w:rsid w:val="00290854"/>
    <w:rsid w:val="00295FE8"/>
    <w:rsid w:val="002970C6"/>
    <w:rsid w:val="002A4A71"/>
    <w:rsid w:val="002A670C"/>
    <w:rsid w:val="002B057F"/>
    <w:rsid w:val="002B6117"/>
    <w:rsid w:val="002B7085"/>
    <w:rsid w:val="002C07DC"/>
    <w:rsid w:val="002C0BDC"/>
    <w:rsid w:val="002C1E87"/>
    <w:rsid w:val="002C63F0"/>
    <w:rsid w:val="002C74FB"/>
    <w:rsid w:val="002D2FEB"/>
    <w:rsid w:val="002D65D8"/>
    <w:rsid w:val="002E1819"/>
    <w:rsid w:val="002E243C"/>
    <w:rsid w:val="002E78E6"/>
    <w:rsid w:val="002F259A"/>
    <w:rsid w:val="0030080F"/>
    <w:rsid w:val="00301E29"/>
    <w:rsid w:val="003034F1"/>
    <w:rsid w:val="00305F40"/>
    <w:rsid w:val="00307353"/>
    <w:rsid w:val="00310B99"/>
    <w:rsid w:val="00320241"/>
    <w:rsid w:val="00320A94"/>
    <w:rsid w:val="00321022"/>
    <w:rsid w:val="00322125"/>
    <w:rsid w:val="00322C00"/>
    <w:rsid w:val="00326752"/>
    <w:rsid w:val="0032756D"/>
    <w:rsid w:val="003311EE"/>
    <w:rsid w:val="0033369B"/>
    <w:rsid w:val="00334517"/>
    <w:rsid w:val="00336471"/>
    <w:rsid w:val="00341229"/>
    <w:rsid w:val="00344285"/>
    <w:rsid w:val="00351522"/>
    <w:rsid w:val="0036072B"/>
    <w:rsid w:val="00361A6B"/>
    <w:rsid w:val="00361E53"/>
    <w:rsid w:val="00372C28"/>
    <w:rsid w:val="00373B1F"/>
    <w:rsid w:val="00374535"/>
    <w:rsid w:val="00374E72"/>
    <w:rsid w:val="00380A1A"/>
    <w:rsid w:val="0038641B"/>
    <w:rsid w:val="0039106A"/>
    <w:rsid w:val="00392FC1"/>
    <w:rsid w:val="003951F3"/>
    <w:rsid w:val="00396207"/>
    <w:rsid w:val="0039671D"/>
    <w:rsid w:val="0039734B"/>
    <w:rsid w:val="003973F5"/>
    <w:rsid w:val="00397709"/>
    <w:rsid w:val="003A0B1C"/>
    <w:rsid w:val="003A1EAC"/>
    <w:rsid w:val="003A2333"/>
    <w:rsid w:val="003A59B5"/>
    <w:rsid w:val="003A79D8"/>
    <w:rsid w:val="003A7EF3"/>
    <w:rsid w:val="003B1947"/>
    <w:rsid w:val="003B1FAC"/>
    <w:rsid w:val="003B3C5B"/>
    <w:rsid w:val="003C045F"/>
    <w:rsid w:val="003C253E"/>
    <w:rsid w:val="003C3D9B"/>
    <w:rsid w:val="003C73FA"/>
    <w:rsid w:val="003D1ED7"/>
    <w:rsid w:val="003D2263"/>
    <w:rsid w:val="003D2406"/>
    <w:rsid w:val="003E12A5"/>
    <w:rsid w:val="003E5625"/>
    <w:rsid w:val="003E5839"/>
    <w:rsid w:val="003F0F4E"/>
    <w:rsid w:val="003F2816"/>
    <w:rsid w:val="003F47B5"/>
    <w:rsid w:val="003F547A"/>
    <w:rsid w:val="00401254"/>
    <w:rsid w:val="00414548"/>
    <w:rsid w:val="004206A6"/>
    <w:rsid w:val="00422B49"/>
    <w:rsid w:val="004377ED"/>
    <w:rsid w:val="00442ED1"/>
    <w:rsid w:val="004506E0"/>
    <w:rsid w:val="00451179"/>
    <w:rsid w:val="00451502"/>
    <w:rsid w:val="00453F80"/>
    <w:rsid w:val="0045461F"/>
    <w:rsid w:val="00454ED1"/>
    <w:rsid w:val="00455E52"/>
    <w:rsid w:val="00466AD6"/>
    <w:rsid w:val="00466EF6"/>
    <w:rsid w:val="004702ED"/>
    <w:rsid w:val="00471176"/>
    <w:rsid w:val="00471B95"/>
    <w:rsid w:val="00471C6F"/>
    <w:rsid w:val="004740B7"/>
    <w:rsid w:val="00475FCF"/>
    <w:rsid w:val="004760DE"/>
    <w:rsid w:val="004763A3"/>
    <w:rsid w:val="004764A2"/>
    <w:rsid w:val="00476798"/>
    <w:rsid w:val="00477410"/>
    <w:rsid w:val="004775FE"/>
    <w:rsid w:val="004834A7"/>
    <w:rsid w:val="0048357D"/>
    <w:rsid w:val="00483D03"/>
    <w:rsid w:val="00484496"/>
    <w:rsid w:val="004855DC"/>
    <w:rsid w:val="004858CD"/>
    <w:rsid w:val="0048733E"/>
    <w:rsid w:val="0049338C"/>
    <w:rsid w:val="00494B83"/>
    <w:rsid w:val="00496B85"/>
    <w:rsid w:val="004A12AE"/>
    <w:rsid w:val="004A53E8"/>
    <w:rsid w:val="004A5DFD"/>
    <w:rsid w:val="004A749D"/>
    <w:rsid w:val="004B0191"/>
    <w:rsid w:val="004B0F9D"/>
    <w:rsid w:val="004B4007"/>
    <w:rsid w:val="004C4B9F"/>
    <w:rsid w:val="004C5959"/>
    <w:rsid w:val="004C6F09"/>
    <w:rsid w:val="004D15D4"/>
    <w:rsid w:val="004D5AB1"/>
    <w:rsid w:val="004D6AFC"/>
    <w:rsid w:val="004E3FC3"/>
    <w:rsid w:val="004E7316"/>
    <w:rsid w:val="004E77EE"/>
    <w:rsid w:val="004E7EAF"/>
    <w:rsid w:val="004F18A8"/>
    <w:rsid w:val="004F57C9"/>
    <w:rsid w:val="0050271B"/>
    <w:rsid w:val="00502755"/>
    <w:rsid w:val="00504BB7"/>
    <w:rsid w:val="005059EB"/>
    <w:rsid w:val="00510D87"/>
    <w:rsid w:val="00510FAC"/>
    <w:rsid w:val="00513FF1"/>
    <w:rsid w:val="00515130"/>
    <w:rsid w:val="00523780"/>
    <w:rsid w:val="00531C91"/>
    <w:rsid w:val="005326EE"/>
    <w:rsid w:val="00532EF2"/>
    <w:rsid w:val="00537B13"/>
    <w:rsid w:val="00537C83"/>
    <w:rsid w:val="005409B0"/>
    <w:rsid w:val="00542EE6"/>
    <w:rsid w:val="005432A1"/>
    <w:rsid w:val="00543DE3"/>
    <w:rsid w:val="00545169"/>
    <w:rsid w:val="00546D6D"/>
    <w:rsid w:val="00551DAF"/>
    <w:rsid w:val="005534C3"/>
    <w:rsid w:val="00554663"/>
    <w:rsid w:val="0055584E"/>
    <w:rsid w:val="005561B0"/>
    <w:rsid w:val="00557F6D"/>
    <w:rsid w:val="0056209D"/>
    <w:rsid w:val="00564732"/>
    <w:rsid w:val="005657AA"/>
    <w:rsid w:val="0056704A"/>
    <w:rsid w:val="0057246E"/>
    <w:rsid w:val="00573C09"/>
    <w:rsid w:val="00574062"/>
    <w:rsid w:val="00576E94"/>
    <w:rsid w:val="0058063C"/>
    <w:rsid w:val="00580AAF"/>
    <w:rsid w:val="00583744"/>
    <w:rsid w:val="005859D0"/>
    <w:rsid w:val="00585D74"/>
    <w:rsid w:val="0058745F"/>
    <w:rsid w:val="0059696B"/>
    <w:rsid w:val="00596D24"/>
    <w:rsid w:val="005A0401"/>
    <w:rsid w:val="005A3DC6"/>
    <w:rsid w:val="005B1339"/>
    <w:rsid w:val="005B2066"/>
    <w:rsid w:val="005B20BF"/>
    <w:rsid w:val="005B5359"/>
    <w:rsid w:val="005B5A39"/>
    <w:rsid w:val="005B7483"/>
    <w:rsid w:val="005C71FC"/>
    <w:rsid w:val="005D38AC"/>
    <w:rsid w:val="005D68EA"/>
    <w:rsid w:val="005E127F"/>
    <w:rsid w:val="005E1F40"/>
    <w:rsid w:val="005E2286"/>
    <w:rsid w:val="005E4CD2"/>
    <w:rsid w:val="005E77EA"/>
    <w:rsid w:val="005F0EB5"/>
    <w:rsid w:val="005F12CF"/>
    <w:rsid w:val="00601267"/>
    <w:rsid w:val="00603B91"/>
    <w:rsid w:val="006047BA"/>
    <w:rsid w:val="00605AC9"/>
    <w:rsid w:val="00611B06"/>
    <w:rsid w:val="006123A4"/>
    <w:rsid w:val="006272C6"/>
    <w:rsid w:val="00630B3F"/>
    <w:rsid w:val="00630DBD"/>
    <w:rsid w:val="00631180"/>
    <w:rsid w:val="00631A03"/>
    <w:rsid w:val="00633264"/>
    <w:rsid w:val="006347E1"/>
    <w:rsid w:val="00634A27"/>
    <w:rsid w:val="006430B2"/>
    <w:rsid w:val="0064381F"/>
    <w:rsid w:val="00644D9B"/>
    <w:rsid w:val="00646E5B"/>
    <w:rsid w:val="0065152E"/>
    <w:rsid w:val="00651983"/>
    <w:rsid w:val="00654A69"/>
    <w:rsid w:val="006558EA"/>
    <w:rsid w:val="006626E0"/>
    <w:rsid w:val="00665AFD"/>
    <w:rsid w:val="006702AB"/>
    <w:rsid w:val="00670BEE"/>
    <w:rsid w:val="006766B5"/>
    <w:rsid w:val="00685A4D"/>
    <w:rsid w:val="006860A4"/>
    <w:rsid w:val="0068756F"/>
    <w:rsid w:val="00693836"/>
    <w:rsid w:val="006A102A"/>
    <w:rsid w:val="006A25CF"/>
    <w:rsid w:val="006A3D20"/>
    <w:rsid w:val="006A69D7"/>
    <w:rsid w:val="006B0BBF"/>
    <w:rsid w:val="006B2BAF"/>
    <w:rsid w:val="006B4C5B"/>
    <w:rsid w:val="006B63DC"/>
    <w:rsid w:val="006B6809"/>
    <w:rsid w:val="006B6B1C"/>
    <w:rsid w:val="006B7F81"/>
    <w:rsid w:val="006C5D7F"/>
    <w:rsid w:val="006C6413"/>
    <w:rsid w:val="006D1861"/>
    <w:rsid w:val="006D1D38"/>
    <w:rsid w:val="006D377C"/>
    <w:rsid w:val="006D4F9A"/>
    <w:rsid w:val="006E0C25"/>
    <w:rsid w:val="006E1669"/>
    <w:rsid w:val="006E47E8"/>
    <w:rsid w:val="006E5112"/>
    <w:rsid w:val="006E70E1"/>
    <w:rsid w:val="006F0725"/>
    <w:rsid w:val="006F3BDA"/>
    <w:rsid w:val="006F4D0B"/>
    <w:rsid w:val="00706984"/>
    <w:rsid w:val="00707BEB"/>
    <w:rsid w:val="0071257F"/>
    <w:rsid w:val="0071666D"/>
    <w:rsid w:val="0071709E"/>
    <w:rsid w:val="0071761F"/>
    <w:rsid w:val="00717E44"/>
    <w:rsid w:val="0072047C"/>
    <w:rsid w:val="00723C0A"/>
    <w:rsid w:val="007243B0"/>
    <w:rsid w:val="00724879"/>
    <w:rsid w:val="00726394"/>
    <w:rsid w:val="0073300E"/>
    <w:rsid w:val="0073375D"/>
    <w:rsid w:val="00733AF8"/>
    <w:rsid w:val="00736C03"/>
    <w:rsid w:val="007420BE"/>
    <w:rsid w:val="0074242E"/>
    <w:rsid w:val="00747242"/>
    <w:rsid w:val="00752B5A"/>
    <w:rsid w:val="007551D1"/>
    <w:rsid w:val="007559FE"/>
    <w:rsid w:val="00757C7D"/>
    <w:rsid w:val="00761C89"/>
    <w:rsid w:val="0076379A"/>
    <w:rsid w:val="00765E96"/>
    <w:rsid w:val="007800FA"/>
    <w:rsid w:val="00786DC4"/>
    <w:rsid w:val="00787D6C"/>
    <w:rsid w:val="007922EC"/>
    <w:rsid w:val="00792FA1"/>
    <w:rsid w:val="00793CCD"/>
    <w:rsid w:val="00794B8F"/>
    <w:rsid w:val="00795F33"/>
    <w:rsid w:val="007A08F2"/>
    <w:rsid w:val="007A4457"/>
    <w:rsid w:val="007B1377"/>
    <w:rsid w:val="007B1A90"/>
    <w:rsid w:val="007B3C75"/>
    <w:rsid w:val="007B56DC"/>
    <w:rsid w:val="007B7B78"/>
    <w:rsid w:val="007C076C"/>
    <w:rsid w:val="007C1D88"/>
    <w:rsid w:val="007C2696"/>
    <w:rsid w:val="007C513E"/>
    <w:rsid w:val="007C662D"/>
    <w:rsid w:val="007C6EA7"/>
    <w:rsid w:val="007D1AD9"/>
    <w:rsid w:val="007D3BDA"/>
    <w:rsid w:val="007D4A54"/>
    <w:rsid w:val="007D6F72"/>
    <w:rsid w:val="007E2135"/>
    <w:rsid w:val="007E3275"/>
    <w:rsid w:val="007E5AA1"/>
    <w:rsid w:val="007E6E00"/>
    <w:rsid w:val="007F0CE7"/>
    <w:rsid w:val="007F349C"/>
    <w:rsid w:val="007F49E0"/>
    <w:rsid w:val="007F4AB7"/>
    <w:rsid w:val="00800DD5"/>
    <w:rsid w:val="00805999"/>
    <w:rsid w:val="00807EDD"/>
    <w:rsid w:val="008112B4"/>
    <w:rsid w:val="00811440"/>
    <w:rsid w:val="008114E0"/>
    <w:rsid w:val="00811D15"/>
    <w:rsid w:val="00813472"/>
    <w:rsid w:val="00813994"/>
    <w:rsid w:val="00817F45"/>
    <w:rsid w:val="00821BBF"/>
    <w:rsid w:val="00830D9A"/>
    <w:rsid w:val="008337AA"/>
    <w:rsid w:val="008352B7"/>
    <w:rsid w:val="00842D41"/>
    <w:rsid w:val="00844B17"/>
    <w:rsid w:val="00852008"/>
    <w:rsid w:val="0086008D"/>
    <w:rsid w:val="008629C9"/>
    <w:rsid w:val="00862CC0"/>
    <w:rsid w:val="00863F7A"/>
    <w:rsid w:val="008660BB"/>
    <w:rsid w:val="00866195"/>
    <w:rsid w:val="008711F9"/>
    <w:rsid w:val="008720FF"/>
    <w:rsid w:val="00880A08"/>
    <w:rsid w:val="008839DB"/>
    <w:rsid w:val="00885574"/>
    <w:rsid w:val="00890D9F"/>
    <w:rsid w:val="00891447"/>
    <w:rsid w:val="00895E18"/>
    <w:rsid w:val="00896722"/>
    <w:rsid w:val="008A0B5D"/>
    <w:rsid w:val="008A17EF"/>
    <w:rsid w:val="008A2435"/>
    <w:rsid w:val="008A5729"/>
    <w:rsid w:val="008B364B"/>
    <w:rsid w:val="008B46F6"/>
    <w:rsid w:val="008B624B"/>
    <w:rsid w:val="008C0058"/>
    <w:rsid w:val="008C1399"/>
    <w:rsid w:val="008C417B"/>
    <w:rsid w:val="008D0E43"/>
    <w:rsid w:val="008D1178"/>
    <w:rsid w:val="008D1974"/>
    <w:rsid w:val="008D2037"/>
    <w:rsid w:val="008D3E6F"/>
    <w:rsid w:val="008D70E8"/>
    <w:rsid w:val="008D782B"/>
    <w:rsid w:val="008E1F61"/>
    <w:rsid w:val="008E344B"/>
    <w:rsid w:val="008F02BC"/>
    <w:rsid w:val="008F3A8F"/>
    <w:rsid w:val="008F3F4F"/>
    <w:rsid w:val="008F4C5E"/>
    <w:rsid w:val="009014D9"/>
    <w:rsid w:val="00901B02"/>
    <w:rsid w:val="00907D5D"/>
    <w:rsid w:val="0091069F"/>
    <w:rsid w:val="0091136A"/>
    <w:rsid w:val="00912ECB"/>
    <w:rsid w:val="00913B29"/>
    <w:rsid w:val="009156E6"/>
    <w:rsid w:val="009210D8"/>
    <w:rsid w:val="00925EF5"/>
    <w:rsid w:val="0093003D"/>
    <w:rsid w:val="00932968"/>
    <w:rsid w:val="00932CCB"/>
    <w:rsid w:val="00934A25"/>
    <w:rsid w:val="00936B20"/>
    <w:rsid w:val="00941564"/>
    <w:rsid w:val="00941CF9"/>
    <w:rsid w:val="00943675"/>
    <w:rsid w:val="00943A8D"/>
    <w:rsid w:val="00946D35"/>
    <w:rsid w:val="009479D7"/>
    <w:rsid w:val="00951BC9"/>
    <w:rsid w:val="0095763C"/>
    <w:rsid w:val="00957E9B"/>
    <w:rsid w:val="00960AC2"/>
    <w:rsid w:val="00961C0F"/>
    <w:rsid w:val="00965233"/>
    <w:rsid w:val="00967A41"/>
    <w:rsid w:val="009726F5"/>
    <w:rsid w:val="00974C40"/>
    <w:rsid w:val="00987CA6"/>
    <w:rsid w:val="00991642"/>
    <w:rsid w:val="00992E41"/>
    <w:rsid w:val="009940B5"/>
    <w:rsid w:val="00994317"/>
    <w:rsid w:val="00995B6F"/>
    <w:rsid w:val="00997FB4"/>
    <w:rsid w:val="009A00C6"/>
    <w:rsid w:val="009A39B2"/>
    <w:rsid w:val="009A79E8"/>
    <w:rsid w:val="009B1046"/>
    <w:rsid w:val="009B19FE"/>
    <w:rsid w:val="009B2F83"/>
    <w:rsid w:val="009B63EC"/>
    <w:rsid w:val="009B6596"/>
    <w:rsid w:val="009B6838"/>
    <w:rsid w:val="009B7173"/>
    <w:rsid w:val="009C3B8B"/>
    <w:rsid w:val="009C5FD5"/>
    <w:rsid w:val="009C75CC"/>
    <w:rsid w:val="009C7E6A"/>
    <w:rsid w:val="009D530F"/>
    <w:rsid w:val="009D7A8D"/>
    <w:rsid w:val="009E11C2"/>
    <w:rsid w:val="009E2D60"/>
    <w:rsid w:val="009E6150"/>
    <w:rsid w:val="009E7FE8"/>
    <w:rsid w:val="009F6AF5"/>
    <w:rsid w:val="009F6CCF"/>
    <w:rsid w:val="00A0284E"/>
    <w:rsid w:val="00A0470E"/>
    <w:rsid w:val="00A113C5"/>
    <w:rsid w:val="00A132FE"/>
    <w:rsid w:val="00A14346"/>
    <w:rsid w:val="00A179D9"/>
    <w:rsid w:val="00A26BB6"/>
    <w:rsid w:val="00A30467"/>
    <w:rsid w:val="00A35603"/>
    <w:rsid w:val="00A36362"/>
    <w:rsid w:val="00A41205"/>
    <w:rsid w:val="00A426A5"/>
    <w:rsid w:val="00A47F57"/>
    <w:rsid w:val="00A51DA9"/>
    <w:rsid w:val="00A53A12"/>
    <w:rsid w:val="00A53CA6"/>
    <w:rsid w:val="00A546A7"/>
    <w:rsid w:val="00A56EF1"/>
    <w:rsid w:val="00A66E08"/>
    <w:rsid w:val="00A67B2D"/>
    <w:rsid w:val="00A70B23"/>
    <w:rsid w:val="00A71B9F"/>
    <w:rsid w:val="00A756D7"/>
    <w:rsid w:val="00A812B1"/>
    <w:rsid w:val="00A81368"/>
    <w:rsid w:val="00A8239E"/>
    <w:rsid w:val="00A84AA1"/>
    <w:rsid w:val="00A86B3E"/>
    <w:rsid w:val="00A87A93"/>
    <w:rsid w:val="00A9459C"/>
    <w:rsid w:val="00A95344"/>
    <w:rsid w:val="00A97B43"/>
    <w:rsid w:val="00AA0397"/>
    <w:rsid w:val="00AA179F"/>
    <w:rsid w:val="00AA3082"/>
    <w:rsid w:val="00AA4E37"/>
    <w:rsid w:val="00AA588B"/>
    <w:rsid w:val="00AA5B6A"/>
    <w:rsid w:val="00AB0409"/>
    <w:rsid w:val="00AB1A55"/>
    <w:rsid w:val="00AC25A9"/>
    <w:rsid w:val="00AC2F02"/>
    <w:rsid w:val="00AC6286"/>
    <w:rsid w:val="00AC6448"/>
    <w:rsid w:val="00AD5C98"/>
    <w:rsid w:val="00AF057D"/>
    <w:rsid w:val="00AF19CE"/>
    <w:rsid w:val="00AF595C"/>
    <w:rsid w:val="00AF76EC"/>
    <w:rsid w:val="00B04B48"/>
    <w:rsid w:val="00B11745"/>
    <w:rsid w:val="00B20D38"/>
    <w:rsid w:val="00B2146F"/>
    <w:rsid w:val="00B22E89"/>
    <w:rsid w:val="00B261D9"/>
    <w:rsid w:val="00B26C4E"/>
    <w:rsid w:val="00B308BF"/>
    <w:rsid w:val="00B320FC"/>
    <w:rsid w:val="00B36234"/>
    <w:rsid w:val="00B41C43"/>
    <w:rsid w:val="00B456DB"/>
    <w:rsid w:val="00B50555"/>
    <w:rsid w:val="00B623C0"/>
    <w:rsid w:val="00B64466"/>
    <w:rsid w:val="00B66706"/>
    <w:rsid w:val="00B6783E"/>
    <w:rsid w:val="00B70E28"/>
    <w:rsid w:val="00B7129B"/>
    <w:rsid w:val="00B712BD"/>
    <w:rsid w:val="00BA0E15"/>
    <w:rsid w:val="00BA1B3C"/>
    <w:rsid w:val="00BA3474"/>
    <w:rsid w:val="00BA5977"/>
    <w:rsid w:val="00BA701B"/>
    <w:rsid w:val="00BA725D"/>
    <w:rsid w:val="00BB0768"/>
    <w:rsid w:val="00BB3333"/>
    <w:rsid w:val="00BB5D98"/>
    <w:rsid w:val="00BC1063"/>
    <w:rsid w:val="00BC5AB6"/>
    <w:rsid w:val="00BC78D1"/>
    <w:rsid w:val="00BC78E7"/>
    <w:rsid w:val="00BD32E3"/>
    <w:rsid w:val="00BD5892"/>
    <w:rsid w:val="00BE036C"/>
    <w:rsid w:val="00BF0272"/>
    <w:rsid w:val="00BF30E1"/>
    <w:rsid w:val="00BF621A"/>
    <w:rsid w:val="00C04987"/>
    <w:rsid w:val="00C05173"/>
    <w:rsid w:val="00C07294"/>
    <w:rsid w:val="00C10CDC"/>
    <w:rsid w:val="00C11106"/>
    <w:rsid w:val="00C120DD"/>
    <w:rsid w:val="00C13124"/>
    <w:rsid w:val="00C14CBE"/>
    <w:rsid w:val="00C15BF4"/>
    <w:rsid w:val="00C300C4"/>
    <w:rsid w:val="00C32E30"/>
    <w:rsid w:val="00C34EE1"/>
    <w:rsid w:val="00C366C4"/>
    <w:rsid w:val="00C42D4D"/>
    <w:rsid w:val="00C44ABB"/>
    <w:rsid w:val="00C45812"/>
    <w:rsid w:val="00C46580"/>
    <w:rsid w:val="00C46A6A"/>
    <w:rsid w:val="00C46CBC"/>
    <w:rsid w:val="00C47D1C"/>
    <w:rsid w:val="00C51D8B"/>
    <w:rsid w:val="00C53739"/>
    <w:rsid w:val="00C551C6"/>
    <w:rsid w:val="00C55AB1"/>
    <w:rsid w:val="00C56654"/>
    <w:rsid w:val="00C574FB"/>
    <w:rsid w:val="00C57611"/>
    <w:rsid w:val="00C57B3B"/>
    <w:rsid w:val="00C617BF"/>
    <w:rsid w:val="00C62569"/>
    <w:rsid w:val="00C66527"/>
    <w:rsid w:val="00C72BCF"/>
    <w:rsid w:val="00C741C2"/>
    <w:rsid w:val="00C76E41"/>
    <w:rsid w:val="00C7750A"/>
    <w:rsid w:val="00C777AB"/>
    <w:rsid w:val="00C81E21"/>
    <w:rsid w:val="00C827A6"/>
    <w:rsid w:val="00C83AC2"/>
    <w:rsid w:val="00C85144"/>
    <w:rsid w:val="00C923FD"/>
    <w:rsid w:val="00C93365"/>
    <w:rsid w:val="00C94D23"/>
    <w:rsid w:val="00C96549"/>
    <w:rsid w:val="00CA39E6"/>
    <w:rsid w:val="00CA5CDC"/>
    <w:rsid w:val="00CB0240"/>
    <w:rsid w:val="00CB4C99"/>
    <w:rsid w:val="00CB50D1"/>
    <w:rsid w:val="00CB5183"/>
    <w:rsid w:val="00CB5307"/>
    <w:rsid w:val="00CB6A10"/>
    <w:rsid w:val="00CB76A5"/>
    <w:rsid w:val="00CC00E9"/>
    <w:rsid w:val="00CC166E"/>
    <w:rsid w:val="00CE131F"/>
    <w:rsid w:val="00CE198C"/>
    <w:rsid w:val="00CE2F73"/>
    <w:rsid w:val="00CE4B50"/>
    <w:rsid w:val="00CE62AD"/>
    <w:rsid w:val="00CF6522"/>
    <w:rsid w:val="00CF6D53"/>
    <w:rsid w:val="00D0086D"/>
    <w:rsid w:val="00D0140F"/>
    <w:rsid w:val="00D03C86"/>
    <w:rsid w:val="00D05BE2"/>
    <w:rsid w:val="00D062AB"/>
    <w:rsid w:val="00D0651B"/>
    <w:rsid w:val="00D137A3"/>
    <w:rsid w:val="00D200AA"/>
    <w:rsid w:val="00D207EF"/>
    <w:rsid w:val="00D229B8"/>
    <w:rsid w:val="00D22B08"/>
    <w:rsid w:val="00D23982"/>
    <w:rsid w:val="00D26494"/>
    <w:rsid w:val="00D27494"/>
    <w:rsid w:val="00D27EB7"/>
    <w:rsid w:val="00D31BE1"/>
    <w:rsid w:val="00D32E6B"/>
    <w:rsid w:val="00D37487"/>
    <w:rsid w:val="00D37DEB"/>
    <w:rsid w:val="00D5641A"/>
    <w:rsid w:val="00D56486"/>
    <w:rsid w:val="00D56541"/>
    <w:rsid w:val="00D57006"/>
    <w:rsid w:val="00D6662B"/>
    <w:rsid w:val="00D7081D"/>
    <w:rsid w:val="00D71119"/>
    <w:rsid w:val="00D742E1"/>
    <w:rsid w:val="00D74B61"/>
    <w:rsid w:val="00D754FC"/>
    <w:rsid w:val="00D76488"/>
    <w:rsid w:val="00D80859"/>
    <w:rsid w:val="00D81F8E"/>
    <w:rsid w:val="00D827C1"/>
    <w:rsid w:val="00D82E4A"/>
    <w:rsid w:val="00D83737"/>
    <w:rsid w:val="00D84B7C"/>
    <w:rsid w:val="00D84BEA"/>
    <w:rsid w:val="00D852F3"/>
    <w:rsid w:val="00D907C4"/>
    <w:rsid w:val="00D93820"/>
    <w:rsid w:val="00D97DD2"/>
    <w:rsid w:val="00DA12D3"/>
    <w:rsid w:val="00DA2BA0"/>
    <w:rsid w:val="00DA3123"/>
    <w:rsid w:val="00DA3BDB"/>
    <w:rsid w:val="00DA537B"/>
    <w:rsid w:val="00DA7E18"/>
    <w:rsid w:val="00DB11C2"/>
    <w:rsid w:val="00DB4781"/>
    <w:rsid w:val="00DC1053"/>
    <w:rsid w:val="00DC41E4"/>
    <w:rsid w:val="00DC4333"/>
    <w:rsid w:val="00DD04E1"/>
    <w:rsid w:val="00DD087B"/>
    <w:rsid w:val="00DD2174"/>
    <w:rsid w:val="00DD3681"/>
    <w:rsid w:val="00DD3C88"/>
    <w:rsid w:val="00DD61F6"/>
    <w:rsid w:val="00DE040A"/>
    <w:rsid w:val="00DE0E55"/>
    <w:rsid w:val="00DE1B19"/>
    <w:rsid w:val="00DE242B"/>
    <w:rsid w:val="00DE26F5"/>
    <w:rsid w:val="00DE3A17"/>
    <w:rsid w:val="00DE7097"/>
    <w:rsid w:val="00DF5392"/>
    <w:rsid w:val="00DF568A"/>
    <w:rsid w:val="00E00666"/>
    <w:rsid w:val="00E01686"/>
    <w:rsid w:val="00E020F9"/>
    <w:rsid w:val="00E02CE5"/>
    <w:rsid w:val="00E05208"/>
    <w:rsid w:val="00E073D8"/>
    <w:rsid w:val="00E11221"/>
    <w:rsid w:val="00E12CA8"/>
    <w:rsid w:val="00E1717A"/>
    <w:rsid w:val="00E176CA"/>
    <w:rsid w:val="00E2128B"/>
    <w:rsid w:val="00E22895"/>
    <w:rsid w:val="00E2319F"/>
    <w:rsid w:val="00E24754"/>
    <w:rsid w:val="00E24DF4"/>
    <w:rsid w:val="00E25E99"/>
    <w:rsid w:val="00E26766"/>
    <w:rsid w:val="00E27BF6"/>
    <w:rsid w:val="00E30A36"/>
    <w:rsid w:val="00E35F04"/>
    <w:rsid w:val="00E37116"/>
    <w:rsid w:val="00E379D0"/>
    <w:rsid w:val="00E40BC5"/>
    <w:rsid w:val="00E443B1"/>
    <w:rsid w:val="00E44D56"/>
    <w:rsid w:val="00E45AFD"/>
    <w:rsid w:val="00E478F9"/>
    <w:rsid w:val="00E50592"/>
    <w:rsid w:val="00E55B04"/>
    <w:rsid w:val="00E57C81"/>
    <w:rsid w:val="00E60648"/>
    <w:rsid w:val="00E614AE"/>
    <w:rsid w:val="00E6459F"/>
    <w:rsid w:val="00E6514A"/>
    <w:rsid w:val="00E76220"/>
    <w:rsid w:val="00E7735F"/>
    <w:rsid w:val="00E7792A"/>
    <w:rsid w:val="00E82E78"/>
    <w:rsid w:val="00E8678C"/>
    <w:rsid w:val="00E8791E"/>
    <w:rsid w:val="00E90C59"/>
    <w:rsid w:val="00E964D9"/>
    <w:rsid w:val="00E972B1"/>
    <w:rsid w:val="00EA0535"/>
    <w:rsid w:val="00EA3D70"/>
    <w:rsid w:val="00EA4C91"/>
    <w:rsid w:val="00EB16B4"/>
    <w:rsid w:val="00EB69FD"/>
    <w:rsid w:val="00EB73C9"/>
    <w:rsid w:val="00EC3AE1"/>
    <w:rsid w:val="00EC79BE"/>
    <w:rsid w:val="00ED73B9"/>
    <w:rsid w:val="00EE1156"/>
    <w:rsid w:val="00EE2CF3"/>
    <w:rsid w:val="00EE5255"/>
    <w:rsid w:val="00EF2602"/>
    <w:rsid w:val="00EF360A"/>
    <w:rsid w:val="00EF3A2A"/>
    <w:rsid w:val="00EF69B4"/>
    <w:rsid w:val="00EF6AF0"/>
    <w:rsid w:val="00F01CDC"/>
    <w:rsid w:val="00F02CBB"/>
    <w:rsid w:val="00F03021"/>
    <w:rsid w:val="00F07FCD"/>
    <w:rsid w:val="00F11491"/>
    <w:rsid w:val="00F16F42"/>
    <w:rsid w:val="00F1761E"/>
    <w:rsid w:val="00F17D75"/>
    <w:rsid w:val="00F17FEA"/>
    <w:rsid w:val="00F21100"/>
    <w:rsid w:val="00F26926"/>
    <w:rsid w:val="00F26B8D"/>
    <w:rsid w:val="00F30EBB"/>
    <w:rsid w:val="00F320FB"/>
    <w:rsid w:val="00F33640"/>
    <w:rsid w:val="00F34401"/>
    <w:rsid w:val="00F3469A"/>
    <w:rsid w:val="00F364D0"/>
    <w:rsid w:val="00F403C1"/>
    <w:rsid w:val="00F41440"/>
    <w:rsid w:val="00F43AC6"/>
    <w:rsid w:val="00F46C2D"/>
    <w:rsid w:val="00F5030B"/>
    <w:rsid w:val="00F50A9F"/>
    <w:rsid w:val="00F54AD8"/>
    <w:rsid w:val="00F558C1"/>
    <w:rsid w:val="00F61B86"/>
    <w:rsid w:val="00F624C6"/>
    <w:rsid w:val="00F64BE2"/>
    <w:rsid w:val="00F80459"/>
    <w:rsid w:val="00F80D2E"/>
    <w:rsid w:val="00F830C2"/>
    <w:rsid w:val="00F85E90"/>
    <w:rsid w:val="00F86D34"/>
    <w:rsid w:val="00F910DF"/>
    <w:rsid w:val="00F91361"/>
    <w:rsid w:val="00F91BBB"/>
    <w:rsid w:val="00F944BF"/>
    <w:rsid w:val="00F96030"/>
    <w:rsid w:val="00FA2866"/>
    <w:rsid w:val="00FB40CC"/>
    <w:rsid w:val="00FB45B5"/>
    <w:rsid w:val="00FB5C8B"/>
    <w:rsid w:val="00FC174E"/>
    <w:rsid w:val="00FC2A40"/>
    <w:rsid w:val="00FD32ED"/>
    <w:rsid w:val="00FE0527"/>
    <w:rsid w:val="00FE0EE7"/>
    <w:rsid w:val="00FE50F6"/>
    <w:rsid w:val="00FF3DBE"/>
    <w:rsid w:val="00FF5116"/>
    <w:rsid w:val="00FF5187"/>
    <w:rsid w:val="00FF5EE4"/>
    <w:rsid w:val="00FF6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173"/>
    <w:pPr>
      <w:spacing w:before="180" w:after="0" w:line="480" w:lineRule="auto"/>
      <w:jc w:val="both"/>
    </w:pPr>
    <w:rPr>
      <w:rFonts w:asciiTheme="majorHAnsi" w:eastAsia="Times New Roman" w:hAnsiTheme="majorHAnsi" w:cs="Times New Roman"/>
      <w:sz w:val="24"/>
      <w:szCs w:val="24"/>
    </w:rPr>
  </w:style>
  <w:style w:type="paragraph" w:styleId="Heading1">
    <w:name w:val="heading 1"/>
    <w:basedOn w:val="Normal"/>
    <w:next w:val="Normal"/>
    <w:link w:val="Heading1Char"/>
    <w:uiPriority w:val="99"/>
    <w:qFormat/>
    <w:rsid w:val="00991642"/>
    <w:pPr>
      <w:keepNext/>
      <w:numPr>
        <w:numId w:val="8"/>
      </w:numPr>
      <w:spacing w:before="0" w:after="240" w:line="276" w:lineRule="auto"/>
      <w:jc w:val="center"/>
      <w:outlineLvl w:val="0"/>
    </w:pPr>
    <w:rPr>
      <w:rFonts w:cs="Arial"/>
      <w:b/>
      <w:bCs/>
      <w:kern w:val="32"/>
      <w:szCs w:val="32"/>
    </w:rPr>
  </w:style>
  <w:style w:type="paragraph" w:styleId="Heading2">
    <w:name w:val="heading 2"/>
    <w:basedOn w:val="Normal"/>
    <w:next w:val="Normal"/>
    <w:link w:val="Heading2Char"/>
    <w:uiPriority w:val="99"/>
    <w:qFormat/>
    <w:rsid w:val="00991642"/>
    <w:pPr>
      <w:keepNext/>
      <w:numPr>
        <w:ilvl w:val="1"/>
        <w:numId w:val="8"/>
      </w:numPr>
      <w:spacing w:before="240" w:line="276" w:lineRule="auto"/>
      <w:jc w:val="left"/>
      <w:outlineLvl w:val="1"/>
    </w:pPr>
    <w:rPr>
      <w:rFonts w:cs="Arial"/>
      <w:b/>
      <w:bCs/>
      <w:iCs/>
      <w:sz w:val="22"/>
      <w:szCs w:val="28"/>
    </w:rPr>
  </w:style>
  <w:style w:type="paragraph" w:styleId="Heading3">
    <w:name w:val="heading 3"/>
    <w:basedOn w:val="Normal"/>
    <w:next w:val="Normal"/>
    <w:link w:val="Heading3Char"/>
    <w:uiPriority w:val="99"/>
    <w:qFormat/>
    <w:rsid w:val="00912ECB"/>
    <w:pPr>
      <w:keepNext/>
      <w:numPr>
        <w:ilvl w:val="2"/>
        <w:numId w:val="8"/>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912ECB"/>
    <w:pPr>
      <w:keepNext/>
      <w:numPr>
        <w:ilvl w:val="3"/>
        <w:numId w:val="8"/>
      </w:numPr>
      <w:spacing w:line="276" w:lineRule="auto"/>
      <w:jc w:val="left"/>
      <w:outlineLvl w:val="3"/>
    </w:pPr>
    <w:rPr>
      <w:b/>
      <w:bCs/>
      <w:szCs w:val="28"/>
    </w:rPr>
  </w:style>
  <w:style w:type="paragraph" w:styleId="Heading5">
    <w:name w:val="heading 5"/>
    <w:basedOn w:val="Normal"/>
    <w:next w:val="Normal"/>
    <w:link w:val="Heading5Char"/>
    <w:uiPriority w:val="99"/>
    <w:qFormat/>
    <w:rsid w:val="00912ECB"/>
    <w:pPr>
      <w:numPr>
        <w:ilvl w:val="4"/>
        <w:numId w:val="8"/>
      </w:numPr>
      <w:spacing w:line="276" w:lineRule="auto"/>
      <w:jc w:val="left"/>
      <w:outlineLvl w:val="4"/>
    </w:pPr>
    <w:rPr>
      <w:b/>
      <w:bCs/>
      <w:iCs/>
      <w:sz w:val="22"/>
      <w:szCs w:val="26"/>
    </w:rPr>
  </w:style>
  <w:style w:type="paragraph" w:styleId="Heading6">
    <w:name w:val="heading 6"/>
    <w:basedOn w:val="Normal"/>
    <w:next w:val="Normal"/>
    <w:link w:val="Heading6Char"/>
    <w:uiPriority w:val="99"/>
    <w:qFormat/>
    <w:rsid w:val="00912ECB"/>
    <w:pPr>
      <w:numPr>
        <w:ilvl w:val="5"/>
        <w:numId w:val="8"/>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912ECB"/>
    <w:pPr>
      <w:numPr>
        <w:ilvl w:val="6"/>
        <w:numId w:val="8"/>
      </w:numPr>
      <w:spacing w:before="240" w:line="276" w:lineRule="auto"/>
      <w:jc w:val="left"/>
      <w:outlineLvl w:val="6"/>
    </w:pPr>
    <w:rPr>
      <w:b/>
      <w:sz w:val="32"/>
    </w:rPr>
  </w:style>
  <w:style w:type="paragraph" w:styleId="Heading8">
    <w:name w:val="heading 8"/>
    <w:basedOn w:val="Normal"/>
    <w:next w:val="Normal"/>
    <w:link w:val="Heading8Char"/>
    <w:uiPriority w:val="99"/>
    <w:qFormat/>
    <w:rsid w:val="00912ECB"/>
    <w:pPr>
      <w:numPr>
        <w:ilvl w:val="7"/>
        <w:numId w:val="8"/>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912ECB"/>
    <w:pPr>
      <w:numPr>
        <w:ilvl w:val="8"/>
        <w:numId w:val="8"/>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91642"/>
    <w:rPr>
      <w:rFonts w:ascii="Arial" w:eastAsia="Times New Roman" w:hAnsi="Arial" w:cs="Arial"/>
      <w:b/>
      <w:bCs/>
      <w:kern w:val="32"/>
      <w:sz w:val="24"/>
      <w:szCs w:val="32"/>
    </w:rPr>
  </w:style>
  <w:style w:type="character" w:customStyle="1" w:styleId="Heading2Char">
    <w:name w:val="Heading 2 Char"/>
    <w:basedOn w:val="DefaultParagraphFont"/>
    <w:link w:val="Heading2"/>
    <w:uiPriority w:val="99"/>
    <w:rsid w:val="00991642"/>
    <w:rPr>
      <w:rFonts w:ascii="Arial" w:eastAsia="Times New Roman" w:hAnsi="Arial" w:cs="Arial"/>
      <w:b/>
      <w:bCs/>
      <w:iCs/>
      <w:szCs w:val="28"/>
    </w:rPr>
  </w:style>
  <w:style w:type="character" w:customStyle="1" w:styleId="Heading3Char">
    <w:name w:val="Heading 3 Char"/>
    <w:basedOn w:val="DefaultParagraphFont"/>
    <w:link w:val="Heading3"/>
    <w:uiPriority w:val="99"/>
    <w:rsid w:val="00912ECB"/>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912ECB"/>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912ECB"/>
    <w:rPr>
      <w:rFonts w:ascii="Arial" w:eastAsia="Times New Roman" w:hAnsi="Arial" w:cs="Times New Roman"/>
      <w:b/>
      <w:bCs/>
      <w:iCs/>
      <w:szCs w:val="26"/>
    </w:rPr>
  </w:style>
  <w:style w:type="character" w:customStyle="1" w:styleId="Heading6Char">
    <w:name w:val="Heading 6 Char"/>
    <w:basedOn w:val="DefaultParagraphFont"/>
    <w:link w:val="Heading6"/>
    <w:uiPriority w:val="99"/>
    <w:rsid w:val="00912ECB"/>
    <w:rPr>
      <w:rFonts w:ascii="Arial" w:eastAsia="Times New Roman" w:hAnsi="Arial" w:cs="Times New Roman"/>
      <w:b/>
      <w:bCs/>
    </w:rPr>
  </w:style>
  <w:style w:type="character" w:customStyle="1" w:styleId="Heading7Char">
    <w:name w:val="Heading 7 Char"/>
    <w:basedOn w:val="DefaultParagraphFont"/>
    <w:link w:val="Heading7"/>
    <w:uiPriority w:val="99"/>
    <w:rsid w:val="00912ECB"/>
    <w:rPr>
      <w:rFonts w:ascii="Arial" w:eastAsia="Times New Roman" w:hAnsi="Arial" w:cs="Times New Roman"/>
      <w:b/>
      <w:sz w:val="32"/>
      <w:szCs w:val="24"/>
    </w:rPr>
  </w:style>
  <w:style w:type="character" w:customStyle="1" w:styleId="Heading8Char">
    <w:name w:val="Heading 8 Char"/>
    <w:basedOn w:val="DefaultParagraphFont"/>
    <w:link w:val="Heading8"/>
    <w:uiPriority w:val="99"/>
    <w:rsid w:val="00912ECB"/>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912ECB"/>
    <w:rPr>
      <w:rFonts w:ascii="Arial" w:eastAsia="Times New Roman" w:hAnsi="Arial" w:cs="Arial"/>
      <w:b/>
      <w:sz w:val="26"/>
    </w:rPr>
  </w:style>
  <w:style w:type="paragraph" w:styleId="Caption">
    <w:name w:val="caption"/>
    <w:basedOn w:val="Normal"/>
    <w:next w:val="Normal"/>
    <w:uiPriority w:val="35"/>
    <w:qFormat/>
    <w:rsid w:val="003F2816"/>
    <w:pPr>
      <w:spacing w:after="120"/>
    </w:pPr>
    <w:rPr>
      <w:bCs/>
      <w:sz w:val="22"/>
      <w:szCs w:val="20"/>
    </w:rPr>
  </w:style>
  <w:style w:type="paragraph" w:styleId="ListParagraph">
    <w:name w:val="List Paragraph"/>
    <w:basedOn w:val="Normal"/>
    <w:uiPriority w:val="34"/>
    <w:qFormat/>
    <w:rsid w:val="00912ECB"/>
    <w:pPr>
      <w:spacing w:before="120"/>
      <w:ind w:left="720"/>
      <w:contextualSpacing/>
    </w:pPr>
  </w:style>
  <w:style w:type="table" w:styleId="TableGrid">
    <w:name w:val="Table Grid"/>
    <w:basedOn w:val="TableNormal"/>
    <w:uiPriority w:val="59"/>
    <w:rsid w:val="00912ECB"/>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qFormat/>
    <w:rsid w:val="00912ECB"/>
    <w:pPr>
      <w:spacing w:before="60" w:after="60" w:line="240" w:lineRule="auto"/>
      <w:jc w:val="left"/>
    </w:pPr>
  </w:style>
  <w:style w:type="paragraph" w:styleId="Header">
    <w:name w:val="header"/>
    <w:basedOn w:val="Normal"/>
    <w:link w:val="HeaderChar"/>
    <w:uiPriority w:val="99"/>
    <w:unhideWhenUsed/>
    <w:rsid w:val="00912ECB"/>
    <w:pPr>
      <w:tabs>
        <w:tab w:val="center" w:pos="4513"/>
        <w:tab w:val="right" w:pos="9026"/>
      </w:tabs>
      <w:spacing w:before="0" w:line="240" w:lineRule="auto"/>
    </w:pPr>
  </w:style>
  <w:style w:type="character" w:customStyle="1" w:styleId="HeaderChar">
    <w:name w:val="Header Char"/>
    <w:basedOn w:val="DefaultParagraphFont"/>
    <w:link w:val="Header"/>
    <w:uiPriority w:val="99"/>
    <w:rsid w:val="00912ECB"/>
    <w:rPr>
      <w:rFonts w:ascii="Arial" w:eastAsia="Times New Roman" w:hAnsi="Arial" w:cs="Times New Roman"/>
      <w:sz w:val="24"/>
      <w:szCs w:val="24"/>
    </w:rPr>
  </w:style>
  <w:style w:type="paragraph" w:styleId="BalloonText">
    <w:name w:val="Balloon Text"/>
    <w:basedOn w:val="Normal"/>
    <w:link w:val="BalloonTextChar"/>
    <w:uiPriority w:val="99"/>
    <w:semiHidden/>
    <w:unhideWhenUsed/>
    <w:rsid w:val="00912EC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ECB"/>
    <w:rPr>
      <w:rFonts w:ascii="Tahoma" w:eastAsia="Times New Roman" w:hAnsi="Tahoma" w:cs="Tahoma"/>
      <w:sz w:val="16"/>
      <w:szCs w:val="16"/>
    </w:rPr>
  </w:style>
  <w:style w:type="paragraph" w:styleId="Title">
    <w:name w:val="Title"/>
    <w:basedOn w:val="Normal"/>
    <w:next w:val="Normal"/>
    <w:link w:val="TitleChar"/>
    <w:uiPriority w:val="10"/>
    <w:qFormat/>
    <w:rsid w:val="00991642"/>
    <w:pPr>
      <w:pBdr>
        <w:bottom w:val="single" w:sz="8" w:space="4" w:color="4F81BD" w:themeColor="accent1"/>
      </w:pBdr>
      <w:spacing w:before="0" w:after="300" w:line="240" w:lineRule="auto"/>
      <w:contextualSpacing/>
    </w:pPr>
    <w:rPr>
      <w:rFonts w:eastAsiaTheme="majorEastAsia" w:cstheme="majorBidi"/>
      <w:spacing w:val="5"/>
      <w:kern w:val="28"/>
      <w:sz w:val="28"/>
      <w:szCs w:val="52"/>
    </w:rPr>
  </w:style>
  <w:style w:type="character" w:customStyle="1" w:styleId="TitleChar">
    <w:name w:val="Title Char"/>
    <w:basedOn w:val="DefaultParagraphFont"/>
    <w:link w:val="Title"/>
    <w:uiPriority w:val="10"/>
    <w:rsid w:val="00991642"/>
    <w:rPr>
      <w:rFonts w:asciiTheme="majorHAnsi" w:eastAsiaTheme="majorEastAsia" w:hAnsiTheme="majorHAnsi" w:cstheme="majorBidi"/>
      <w:spacing w:val="5"/>
      <w:kern w:val="28"/>
      <w:sz w:val="28"/>
      <w:szCs w:val="52"/>
    </w:rPr>
  </w:style>
  <w:style w:type="character" w:styleId="Hyperlink">
    <w:name w:val="Hyperlink"/>
    <w:basedOn w:val="DefaultParagraphFont"/>
    <w:uiPriority w:val="99"/>
    <w:unhideWhenUsed/>
    <w:rsid w:val="00515130"/>
    <w:rPr>
      <w:color w:val="0000FF" w:themeColor="hyperlink"/>
      <w:u w:val="single"/>
    </w:rPr>
  </w:style>
  <w:style w:type="paragraph" w:styleId="Footer">
    <w:name w:val="footer"/>
    <w:basedOn w:val="Normal"/>
    <w:link w:val="FooterChar"/>
    <w:uiPriority w:val="99"/>
    <w:unhideWhenUsed/>
    <w:rsid w:val="0027332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273326"/>
    <w:rPr>
      <w:rFonts w:ascii="Arial" w:eastAsia="Times New Roman" w:hAnsi="Arial" w:cs="Times New Roman"/>
      <w:sz w:val="24"/>
      <w:szCs w:val="24"/>
    </w:rPr>
  </w:style>
  <w:style w:type="paragraph" w:styleId="NoSpacing">
    <w:name w:val="No Spacing"/>
    <w:uiPriority w:val="1"/>
    <w:qFormat/>
    <w:rsid w:val="006B63DC"/>
    <w:pPr>
      <w:spacing w:after="0" w:line="240" w:lineRule="auto"/>
      <w:jc w:val="both"/>
    </w:pPr>
    <w:rPr>
      <w:rFonts w:asciiTheme="majorHAnsi" w:eastAsia="Times New Roman" w:hAnsiTheme="majorHAnsi" w:cs="Times New Roman"/>
      <w:sz w:val="24"/>
      <w:szCs w:val="24"/>
    </w:rPr>
  </w:style>
  <w:style w:type="paragraph" w:styleId="NormalWeb">
    <w:name w:val="Normal (Web)"/>
    <w:basedOn w:val="Normal"/>
    <w:uiPriority w:val="99"/>
    <w:unhideWhenUsed/>
    <w:rsid w:val="00466AD6"/>
    <w:pPr>
      <w:spacing w:before="100" w:beforeAutospacing="1" w:after="100" w:afterAutospacing="1" w:line="240" w:lineRule="auto"/>
      <w:jc w:val="left"/>
    </w:pPr>
    <w:rPr>
      <w:rFonts w:ascii="Times New Roman" w:eastAsiaTheme="minorEastAsia" w:hAnsi="Times New Roman"/>
      <w:lang w:eastAsia="en-GB"/>
    </w:rPr>
  </w:style>
  <w:style w:type="character" w:styleId="PlaceholderText">
    <w:name w:val="Placeholder Text"/>
    <w:basedOn w:val="DefaultParagraphFont"/>
    <w:uiPriority w:val="99"/>
    <w:semiHidden/>
    <w:rsid w:val="00866195"/>
    <w:rPr>
      <w:color w:val="808080"/>
    </w:rPr>
  </w:style>
  <w:style w:type="character" w:styleId="FollowedHyperlink">
    <w:name w:val="FollowedHyperlink"/>
    <w:basedOn w:val="DefaultParagraphFont"/>
    <w:uiPriority w:val="99"/>
    <w:semiHidden/>
    <w:unhideWhenUsed/>
    <w:rsid w:val="004A53E8"/>
    <w:rPr>
      <w:color w:val="800080" w:themeColor="followedHyperlink"/>
      <w:u w:val="single"/>
    </w:rPr>
  </w:style>
  <w:style w:type="character" w:styleId="LineNumber">
    <w:name w:val="line number"/>
    <w:basedOn w:val="DefaultParagraphFont"/>
    <w:uiPriority w:val="99"/>
    <w:semiHidden/>
    <w:unhideWhenUsed/>
    <w:rsid w:val="00AC6448"/>
  </w:style>
  <w:style w:type="character" w:customStyle="1" w:styleId="apple-converted-space">
    <w:name w:val="apple-converted-space"/>
    <w:basedOn w:val="DefaultParagraphFont"/>
    <w:rsid w:val="00190C82"/>
  </w:style>
  <w:style w:type="character" w:styleId="CommentReference">
    <w:name w:val="annotation reference"/>
    <w:basedOn w:val="DefaultParagraphFont"/>
    <w:uiPriority w:val="99"/>
    <w:semiHidden/>
    <w:unhideWhenUsed/>
    <w:rsid w:val="008B364B"/>
    <w:rPr>
      <w:sz w:val="16"/>
      <w:szCs w:val="16"/>
    </w:rPr>
  </w:style>
  <w:style w:type="paragraph" w:styleId="CommentText">
    <w:name w:val="annotation text"/>
    <w:basedOn w:val="Normal"/>
    <w:link w:val="CommentTextChar"/>
    <w:uiPriority w:val="99"/>
    <w:semiHidden/>
    <w:unhideWhenUsed/>
    <w:rsid w:val="008B364B"/>
    <w:pPr>
      <w:spacing w:line="240" w:lineRule="auto"/>
    </w:pPr>
    <w:rPr>
      <w:sz w:val="20"/>
      <w:szCs w:val="20"/>
    </w:rPr>
  </w:style>
  <w:style w:type="character" w:customStyle="1" w:styleId="CommentTextChar">
    <w:name w:val="Comment Text Char"/>
    <w:basedOn w:val="DefaultParagraphFont"/>
    <w:link w:val="CommentText"/>
    <w:uiPriority w:val="99"/>
    <w:semiHidden/>
    <w:rsid w:val="008B364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8B364B"/>
    <w:rPr>
      <w:b/>
      <w:bCs/>
    </w:rPr>
  </w:style>
  <w:style w:type="character" w:customStyle="1" w:styleId="CommentSubjectChar">
    <w:name w:val="Comment Subject Char"/>
    <w:basedOn w:val="CommentTextChar"/>
    <w:link w:val="CommentSubject"/>
    <w:uiPriority w:val="99"/>
    <w:semiHidden/>
    <w:rsid w:val="008B364B"/>
    <w:rPr>
      <w:rFonts w:ascii="Arial" w:eastAsia="Times New Roman" w:hAnsi="Arial"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173"/>
    <w:pPr>
      <w:spacing w:before="180" w:after="0" w:line="480" w:lineRule="auto"/>
      <w:jc w:val="both"/>
    </w:pPr>
    <w:rPr>
      <w:rFonts w:asciiTheme="majorHAnsi" w:eastAsia="Times New Roman" w:hAnsiTheme="majorHAnsi" w:cs="Times New Roman"/>
      <w:sz w:val="24"/>
      <w:szCs w:val="24"/>
    </w:rPr>
  </w:style>
  <w:style w:type="paragraph" w:styleId="Heading1">
    <w:name w:val="heading 1"/>
    <w:basedOn w:val="Normal"/>
    <w:next w:val="Normal"/>
    <w:link w:val="Heading1Char"/>
    <w:uiPriority w:val="99"/>
    <w:qFormat/>
    <w:rsid w:val="00991642"/>
    <w:pPr>
      <w:keepNext/>
      <w:numPr>
        <w:numId w:val="8"/>
      </w:numPr>
      <w:spacing w:before="0" w:after="240" w:line="276" w:lineRule="auto"/>
      <w:jc w:val="center"/>
      <w:outlineLvl w:val="0"/>
    </w:pPr>
    <w:rPr>
      <w:rFonts w:cs="Arial"/>
      <w:b/>
      <w:bCs/>
      <w:kern w:val="32"/>
      <w:szCs w:val="32"/>
    </w:rPr>
  </w:style>
  <w:style w:type="paragraph" w:styleId="Heading2">
    <w:name w:val="heading 2"/>
    <w:basedOn w:val="Normal"/>
    <w:next w:val="Normal"/>
    <w:link w:val="Heading2Char"/>
    <w:uiPriority w:val="99"/>
    <w:qFormat/>
    <w:rsid w:val="00991642"/>
    <w:pPr>
      <w:keepNext/>
      <w:numPr>
        <w:ilvl w:val="1"/>
        <w:numId w:val="8"/>
      </w:numPr>
      <w:spacing w:before="240" w:line="276" w:lineRule="auto"/>
      <w:jc w:val="left"/>
      <w:outlineLvl w:val="1"/>
    </w:pPr>
    <w:rPr>
      <w:rFonts w:cs="Arial"/>
      <w:b/>
      <w:bCs/>
      <w:iCs/>
      <w:sz w:val="22"/>
      <w:szCs w:val="28"/>
    </w:rPr>
  </w:style>
  <w:style w:type="paragraph" w:styleId="Heading3">
    <w:name w:val="heading 3"/>
    <w:basedOn w:val="Normal"/>
    <w:next w:val="Normal"/>
    <w:link w:val="Heading3Char"/>
    <w:uiPriority w:val="99"/>
    <w:qFormat/>
    <w:rsid w:val="00912ECB"/>
    <w:pPr>
      <w:keepNext/>
      <w:numPr>
        <w:ilvl w:val="2"/>
        <w:numId w:val="8"/>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912ECB"/>
    <w:pPr>
      <w:keepNext/>
      <w:numPr>
        <w:ilvl w:val="3"/>
        <w:numId w:val="8"/>
      </w:numPr>
      <w:spacing w:line="276" w:lineRule="auto"/>
      <w:jc w:val="left"/>
      <w:outlineLvl w:val="3"/>
    </w:pPr>
    <w:rPr>
      <w:b/>
      <w:bCs/>
      <w:szCs w:val="28"/>
    </w:rPr>
  </w:style>
  <w:style w:type="paragraph" w:styleId="Heading5">
    <w:name w:val="heading 5"/>
    <w:basedOn w:val="Normal"/>
    <w:next w:val="Normal"/>
    <w:link w:val="Heading5Char"/>
    <w:uiPriority w:val="99"/>
    <w:qFormat/>
    <w:rsid w:val="00912ECB"/>
    <w:pPr>
      <w:numPr>
        <w:ilvl w:val="4"/>
        <w:numId w:val="8"/>
      </w:numPr>
      <w:spacing w:line="276" w:lineRule="auto"/>
      <w:jc w:val="left"/>
      <w:outlineLvl w:val="4"/>
    </w:pPr>
    <w:rPr>
      <w:b/>
      <w:bCs/>
      <w:iCs/>
      <w:sz w:val="22"/>
      <w:szCs w:val="26"/>
    </w:rPr>
  </w:style>
  <w:style w:type="paragraph" w:styleId="Heading6">
    <w:name w:val="heading 6"/>
    <w:basedOn w:val="Normal"/>
    <w:next w:val="Normal"/>
    <w:link w:val="Heading6Char"/>
    <w:uiPriority w:val="99"/>
    <w:qFormat/>
    <w:rsid w:val="00912ECB"/>
    <w:pPr>
      <w:numPr>
        <w:ilvl w:val="5"/>
        <w:numId w:val="8"/>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912ECB"/>
    <w:pPr>
      <w:numPr>
        <w:ilvl w:val="6"/>
        <w:numId w:val="8"/>
      </w:numPr>
      <w:spacing w:before="240" w:line="276" w:lineRule="auto"/>
      <w:jc w:val="left"/>
      <w:outlineLvl w:val="6"/>
    </w:pPr>
    <w:rPr>
      <w:b/>
      <w:sz w:val="32"/>
    </w:rPr>
  </w:style>
  <w:style w:type="paragraph" w:styleId="Heading8">
    <w:name w:val="heading 8"/>
    <w:basedOn w:val="Normal"/>
    <w:next w:val="Normal"/>
    <w:link w:val="Heading8Char"/>
    <w:uiPriority w:val="99"/>
    <w:qFormat/>
    <w:rsid w:val="00912ECB"/>
    <w:pPr>
      <w:numPr>
        <w:ilvl w:val="7"/>
        <w:numId w:val="8"/>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912ECB"/>
    <w:pPr>
      <w:numPr>
        <w:ilvl w:val="8"/>
        <w:numId w:val="8"/>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91642"/>
    <w:rPr>
      <w:rFonts w:ascii="Arial" w:eastAsia="Times New Roman" w:hAnsi="Arial" w:cs="Arial"/>
      <w:b/>
      <w:bCs/>
      <w:kern w:val="32"/>
      <w:sz w:val="24"/>
      <w:szCs w:val="32"/>
    </w:rPr>
  </w:style>
  <w:style w:type="character" w:customStyle="1" w:styleId="Heading2Char">
    <w:name w:val="Heading 2 Char"/>
    <w:basedOn w:val="DefaultParagraphFont"/>
    <w:link w:val="Heading2"/>
    <w:uiPriority w:val="99"/>
    <w:rsid w:val="00991642"/>
    <w:rPr>
      <w:rFonts w:ascii="Arial" w:eastAsia="Times New Roman" w:hAnsi="Arial" w:cs="Arial"/>
      <w:b/>
      <w:bCs/>
      <w:iCs/>
      <w:szCs w:val="28"/>
    </w:rPr>
  </w:style>
  <w:style w:type="character" w:customStyle="1" w:styleId="Heading3Char">
    <w:name w:val="Heading 3 Char"/>
    <w:basedOn w:val="DefaultParagraphFont"/>
    <w:link w:val="Heading3"/>
    <w:uiPriority w:val="99"/>
    <w:rsid w:val="00912ECB"/>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912ECB"/>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912ECB"/>
    <w:rPr>
      <w:rFonts w:ascii="Arial" w:eastAsia="Times New Roman" w:hAnsi="Arial" w:cs="Times New Roman"/>
      <w:b/>
      <w:bCs/>
      <w:iCs/>
      <w:szCs w:val="26"/>
    </w:rPr>
  </w:style>
  <w:style w:type="character" w:customStyle="1" w:styleId="Heading6Char">
    <w:name w:val="Heading 6 Char"/>
    <w:basedOn w:val="DefaultParagraphFont"/>
    <w:link w:val="Heading6"/>
    <w:uiPriority w:val="99"/>
    <w:rsid w:val="00912ECB"/>
    <w:rPr>
      <w:rFonts w:ascii="Arial" w:eastAsia="Times New Roman" w:hAnsi="Arial" w:cs="Times New Roman"/>
      <w:b/>
      <w:bCs/>
    </w:rPr>
  </w:style>
  <w:style w:type="character" w:customStyle="1" w:styleId="Heading7Char">
    <w:name w:val="Heading 7 Char"/>
    <w:basedOn w:val="DefaultParagraphFont"/>
    <w:link w:val="Heading7"/>
    <w:uiPriority w:val="99"/>
    <w:rsid w:val="00912ECB"/>
    <w:rPr>
      <w:rFonts w:ascii="Arial" w:eastAsia="Times New Roman" w:hAnsi="Arial" w:cs="Times New Roman"/>
      <w:b/>
      <w:sz w:val="32"/>
      <w:szCs w:val="24"/>
    </w:rPr>
  </w:style>
  <w:style w:type="character" w:customStyle="1" w:styleId="Heading8Char">
    <w:name w:val="Heading 8 Char"/>
    <w:basedOn w:val="DefaultParagraphFont"/>
    <w:link w:val="Heading8"/>
    <w:uiPriority w:val="99"/>
    <w:rsid w:val="00912ECB"/>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912ECB"/>
    <w:rPr>
      <w:rFonts w:ascii="Arial" w:eastAsia="Times New Roman" w:hAnsi="Arial" w:cs="Arial"/>
      <w:b/>
      <w:sz w:val="26"/>
    </w:rPr>
  </w:style>
  <w:style w:type="paragraph" w:styleId="Caption">
    <w:name w:val="caption"/>
    <w:basedOn w:val="Normal"/>
    <w:next w:val="Normal"/>
    <w:uiPriority w:val="35"/>
    <w:qFormat/>
    <w:rsid w:val="003F2816"/>
    <w:pPr>
      <w:spacing w:after="120"/>
    </w:pPr>
    <w:rPr>
      <w:bCs/>
      <w:sz w:val="22"/>
      <w:szCs w:val="20"/>
    </w:rPr>
  </w:style>
  <w:style w:type="paragraph" w:styleId="ListParagraph">
    <w:name w:val="List Paragraph"/>
    <w:basedOn w:val="Normal"/>
    <w:uiPriority w:val="34"/>
    <w:qFormat/>
    <w:rsid w:val="00912ECB"/>
    <w:pPr>
      <w:spacing w:before="120"/>
      <w:ind w:left="720"/>
      <w:contextualSpacing/>
    </w:pPr>
  </w:style>
  <w:style w:type="table" w:styleId="TableGrid">
    <w:name w:val="Table Grid"/>
    <w:basedOn w:val="TableNormal"/>
    <w:uiPriority w:val="59"/>
    <w:rsid w:val="00912ECB"/>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qFormat/>
    <w:rsid w:val="00912ECB"/>
    <w:pPr>
      <w:spacing w:before="60" w:after="60" w:line="240" w:lineRule="auto"/>
      <w:jc w:val="left"/>
    </w:pPr>
  </w:style>
  <w:style w:type="paragraph" w:styleId="Header">
    <w:name w:val="header"/>
    <w:basedOn w:val="Normal"/>
    <w:link w:val="HeaderChar"/>
    <w:uiPriority w:val="99"/>
    <w:unhideWhenUsed/>
    <w:rsid w:val="00912ECB"/>
    <w:pPr>
      <w:tabs>
        <w:tab w:val="center" w:pos="4513"/>
        <w:tab w:val="right" w:pos="9026"/>
      </w:tabs>
      <w:spacing w:before="0" w:line="240" w:lineRule="auto"/>
    </w:pPr>
  </w:style>
  <w:style w:type="character" w:customStyle="1" w:styleId="HeaderChar">
    <w:name w:val="Header Char"/>
    <w:basedOn w:val="DefaultParagraphFont"/>
    <w:link w:val="Header"/>
    <w:uiPriority w:val="99"/>
    <w:rsid w:val="00912ECB"/>
    <w:rPr>
      <w:rFonts w:ascii="Arial" w:eastAsia="Times New Roman" w:hAnsi="Arial" w:cs="Times New Roman"/>
      <w:sz w:val="24"/>
      <w:szCs w:val="24"/>
    </w:rPr>
  </w:style>
  <w:style w:type="paragraph" w:styleId="BalloonText">
    <w:name w:val="Balloon Text"/>
    <w:basedOn w:val="Normal"/>
    <w:link w:val="BalloonTextChar"/>
    <w:uiPriority w:val="99"/>
    <w:semiHidden/>
    <w:unhideWhenUsed/>
    <w:rsid w:val="00912EC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ECB"/>
    <w:rPr>
      <w:rFonts w:ascii="Tahoma" w:eastAsia="Times New Roman" w:hAnsi="Tahoma" w:cs="Tahoma"/>
      <w:sz w:val="16"/>
      <w:szCs w:val="16"/>
    </w:rPr>
  </w:style>
  <w:style w:type="paragraph" w:styleId="Title">
    <w:name w:val="Title"/>
    <w:basedOn w:val="Normal"/>
    <w:next w:val="Normal"/>
    <w:link w:val="TitleChar"/>
    <w:uiPriority w:val="10"/>
    <w:qFormat/>
    <w:rsid w:val="00991642"/>
    <w:pPr>
      <w:pBdr>
        <w:bottom w:val="single" w:sz="8" w:space="4" w:color="4F81BD" w:themeColor="accent1"/>
      </w:pBdr>
      <w:spacing w:before="0" w:after="300" w:line="240" w:lineRule="auto"/>
      <w:contextualSpacing/>
    </w:pPr>
    <w:rPr>
      <w:rFonts w:eastAsiaTheme="majorEastAsia" w:cstheme="majorBidi"/>
      <w:spacing w:val="5"/>
      <w:kern w:val="28"/>
      <w:sz w:val="28"/>
      <w:szCs w:val="52"/>
    </w:rPr>
  </w:style>
  <w:style w:type="character" w:customStyle="1" w:styleId="TitleChar">
    <w:name w:val="Title Char"/>
    <w:basedOn w:val="DefaultParagraphFont"/>
    <w:link w:val="Title"/>
    <w:uiPriority w:val="10"/>
    <w:rsid w:val="00991642"/>
    <w:rPr>
      <w:rFonts w:asciiTheme="majorHAnsi" w:eastAsiaTheme="majorEastAsia" w:hAnsiTheme="majorHAnsi" w:cstheme="majorBidi"/>
      <w:spacing w:val="5"/>
      <w:kern w:val="28"/>
      <w:sz w:val="28"/>
      <w:szCs w:val="52"/>
    </w:rPr>
  </w:style>
  <w:style w:type="character" w:styleId="Hyperlink">
    <w:name w:val="Hyperlink"/>
    <w:basedOn w:val="DefaultParagraphFont"/>
    <w:uiPriority w:val="99"/>
    <w:unhideWhenUsed/>
    <w:rsid w:val="00515130"/>
    <w:rPr>
      <w:color w:val="0000FF" w:themeColor="hyperlink"/>
      <w:u w:val="single"/>
    </w:rPr>
  </w:style>
  <w:style w:type="paragraph" w:styleId="Footer">
    <w:name w:val="footer"/>
    <w:basedOn w:val="Normal"/>
    <w:link w:val="FooterChar"/>
    <w:uiPriority w:val="99"/>
    <w:unhideWhenUsed/>
    <w:rsid w:val="0027332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273326"/>
    <w:rPr>
      <w:rFonts w:ascii="Arial" w:eastAsia="Times New Roman" w:hAnsi="Arial" w:cs="Times New Roman"/>
      <w:sz w:val="24"/>
      <w:szCs w:val="24"/>
    </w:rPr>
  </w:style>
  <w:style w:type="paragraph" w:styleId="NoSpacing">
    <w:name w:val="No Spacing"/>
    <w:uiPriority w:val="1"/>
    <w:qFormat/>
    <w:rsid w:val="006B63DC"/>
    <w:pPr>
      <w:spacing w:after="0" w:line="240" w:lineRule="auto"/>
      <w:jc w:val="both"/>
    </w:pPr>
    <w:rPr>
      <w:rFonts w:asciiTheme="majorHAnsi" w:eastAsia="Times New Roman" w:hAnsiTheme="majorHAnsi" w:cs="Times New Roman"/>
      <w:sz w:val="24"/>
      <w:szCs w:val="24"/>
    </w:rPr>
  </w:style>
  <w:style w:type="paragraph" w:styleId="NormalWeb">
    <w:name w:val="Normal (Web)"/>
    <w:basedOn w:val="Normal"/>
    <w:uiPriority w:val="99"/>
    <w:unhideWhenUsed/>
    <w:rsid w:val="00466AD6"/>
    <w:pPr>
      <w:spacing w:before="100" w:beforeAutospacing="1" w:after="100" w:afterAutospacing="1" w:line="240" w:lineRule="auto"/>
      <w:jc w:val="left"/>
    </w:pPr>
    <w:rPr>
      <w:rFonts w:ascii="Times New Roman" w:eastAsiaTheme="minorEastAsia" w:hAnsi="Times New Roman"/>
      <w:lang w:eastAsia="en-GB"/>
    </w:rPr>
  </w:style>
  <w:style w:type="character" w:styleId="PlaceholderText">
    <w:name w:val="Placeholder Text"/>
    <w:basedOn w:val="DefaultParagraphFont"/>
    <w:uiPriority w:val="99"/>
    <w:semiHidden/>
    <w:rsid w:val="00866195"/>
    <w:rPr>
      <w:color w:val="808080"/>
    </w:rPr>
  </w:style>
  <w:style w:type="character" w:styleId="FollowedHyperlink">
    <w:name w:val="FollowedHyperlink"/>
    <w:basedOn w:val="DefaultParagraphFont"/>
    <w:uiPriority w:val="99"/>
    <w:semiHidden/>
    <w:unhideWhenUsed/>
    <w:rsid w:val="004A53E8"/>
    <w:rPr>
      <w:color w:val="800080" w:themeColor="followedHyperlink"/>
      <w:u w:val="single"/>
    </w:rPr>
  </w:style>
  <w:style w:type="character" w:styleId="LineNumber">
    <w:name w:val="line number"/>
    <w:basedOn w:val="DefaultParagraphFont"/>
    <w:uiPriority w:val="99"/>
    <w:semiHidden/>
    <w:unhideWhenUsed/>
    <w:rsid w:val="00AC6448"/>
  </w:style>
  <w:style w:type="character" w:customStyle="1" w:styleId="apple-converted-space">
    <w:name w:val="apple-converted-space"/>
    <w:basedOn w:val="DefaultParagraphFont"/>
    <w:rsid w:val="00190C82"/>
  </w:style>
  <w:style w:type="character" w:styleId="CommentReference">
    <w:name w:val="annotation reference"/>
    <w:basedOn w:val="DefaultParagraphFont"/>
    <w:uiPriority w:val="99"/>
    <w:semiHidden/>
    <w:unhideWhenUsed/>
    <w:rsid w:val="008B364B"/>
    <w:rPr>
      <w:sz w:val="16"/>
      <w:szCs w:val="16"/>
    </w:rPr>
  </w:style>
  <w:style w:type="paragraph" w:styleId="CommentText">
    <w:name w:val="annotation text"/>
    <w:basedOn w:val="Normal"/>
    <w:link w:val="CommentTextChar"/>
    <w:uiPriority w:val="99"/>
    <w:semiHidden/>
    <w:unhideWhenUsed/>
    <w:rsid w:val="008B364B"/>
    <w:pPr>
      <w:spacing w:line="240" w:lineRule="auto"/>
    </w:pPr>
    <w:rPr>
      <w:sz w:val="20"/>
      <w:szCs w:val="20"/>
    </w:rPr>
  </w:style>
  <w:style w:type="character" w:customStyle="1" w:styleId="CommentTextChar">
    <w:name w:val="Comment Text Char"/>
    <w:basedOn w:val="DefaultParagraphFont"/>
    <w:link w:val="CommentText"/>
    <w:uiPriority w:val="99"/>
    <w:semiHidden/>
    <w:rsid w:val="008B364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8B364B"/>
    <w:rPr>
      <w:b/>
      <w:bCs/>
    </w:rPr>
  </w:style>
  <w:style w:type="character" w:customStyle="1" w:styleId="CommentSubjectChar">
    <w:name w:val="Comment Subject Char"/>
    <w:basedOn w:val="CommentTextChar"/>
    <w:link w:val="CommentSubject"/>
    <w:uiPriority w:val="99"/>
    <w:semiHidden/>
    <w:rsid w:val="008B364B"/>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69022">
      <w:bodyDiv w:val="1"/>
      <w:marLeft w:val="0"/>
      <w:marRight w:val="0"/>
      <w:marTop w:val="0"/>
      <w:marBottom w:val="0"/>
      <w:divBdr>
        <w:top w:val="none" w:sz="0" w:space="0" w:color="auto"/>
        <w:left w:val="none" w:sz="0" w:space="0" w:color="auto"/>
        <w:bottom w:val="none" w:sz="0" w:space="0" w:color="auto"/>
        <w:right w:val="none" w:sz="0" w:space="0" w:color="auto"/>
      </w:divBdr>
    </w:div>
    <w:div w:id="145975201">
      <w:bodyDiv w:val="1"/>
      <w:marLeft w:val="0"/>
      <w:marRight w:val="0"/>
      <w:marTop w:val="0"/>
      <w:marBottom w:val="0"/>
      <w:divBdr>
        <w:top w:val="none" w:sz="0" w:space="0" w:color="auto"/>
        <w:left w:val="none" w:sz="0" w:space="0" w:color="auto"/>
        <w:bottom w:val="none" w:sz="0" w:space="0" w:color="auto"/>
        <w:right w:val="none" w:sz="0" w:space="0" w:color="auto"/>
      </w:divBdr>
    </w:div>
    <w:div w:id="712534964">
      <w:bodyDiv w:val="1"/>
      <w:marLeft w:val="0"/>
      <w:marRight w:val="0"/>
      <w:marTop w:val="0"/>
      <w:marBottom w:val="0"/>
      <w:divBdr>
        <w:top w:val="none" w:sz="0" w:space="0" w:color="auto"/>
        <w:left w:val="none" w:sz="0" w:space="0" w:color="auto"/>
        <w:bottom w:val="none" w:sz="0" w:space="0" w:color="auto"/>
        <w:right w:val="none" w:sz="0" w:space="0" w:color="auto"/>
      </w:divBdr>
    </w:div>
    <w:div w:id="1443568453">
      <w:bodyDiv w:val="1"/>
      <w:marLeft w:val="0"/>
      <w:marRight w:val="0"/>
      <w:marTop w:val="0"/>
      <w:marBottom w:val="0"/>
      <w:divBdr>
        <w:top w:val="none" w:sz="0" w:space="0" w:color="auto"/>
        <w:left w:val="none" w:sz="0" w:space="0" w:color="auto"/>
        <w:bottom w:val="none" w:sz="0" w:space="0" w:color="auto"/>
        <w:right w:val="none" w:sz="0" w:space="0" w:color="auto"/>
      </w:divBdr>
    </w:div>
    <w:div w:id="1565144342">
      <w:bodyDiv w:val="1"/>
      <w:marLeft w:val="0"/>
      <w:marRight w:val="0"/>
      <w:marTop w:val="0"/>
      <w:marBottom w:val="0"/>
      <w:divBdr>
        <w:top w:val="none" w:sz="0" w:space="0" w:color="auto"/>
        <w:left w:val="none" w:sz="0" w:space="0" w:color="auto"/>
        <w:bottom w:val="none" w:sz="0" w:space="0" w:color="auto"/>
        <w:right w:val="none" w:sz="0" w:space="0" w:color="auto"/>
      </w:divBdr>
    </w:div>
    <w:div w:id="1585527940">
      <w:bodyDiv w:val="1"/>
      <w:marLeft w:val="0"/>
      <w:marRight w:val="0"/>
      <w:marTop w:val="0"/>
      <w:marBottom w:val="0"/>
      <w:divBdr>
        <w:top w:val="none" w:sz="0" w:space="0" w:color="auto"/>
        <w:left w:val="none" w:sz="0" w:space="0" w:color="auto"/>
        <w:bottom w:val="none" w:sz="0" w:space="0" w:color="auto"/>
        <w:right w:val="none" w:sz="0" w:space="0" w:color="auto"/>
      </w:divBdr>
    </w:div>
    <w:div w:id="1763336847">
      <w:bodyDiv w:val="1"/>
      <w:marLeft w:val="0"/>
      <w:marRight w:val="0"/>
      <w:marTop w:val="0"/>
      <w:marBottom w:val="0"/>
      <w:divBdr>
        <w:top w:val="none" w:sz="0" w:space="0" w:color="auto"/>
        <w:left w:val="none" w:sz="0" w:space="0" w:color="auto"/>
        <w:bottom w:val="none" w:sz="0" w:space="0" w:color="auto"/>
        <w:right w:val="none" w:sz="0" w:space="0" w:color="auto"/>
      </w:divBdr>
    </w:div>
    <w:div w:id="1773550711">
      <w:bodyDiv w:val="1"/>
      <w:marLeft w:val="0"/>
      <w:marRight w:val="0"/>
      <w:marTop w:val="0"/>
      <w:marBottom w:val="0"/>
      <w:divBdr>
        <w:top w:val="none" w:sz="0" w:space="0" w:color="auto"/>
        <w:left w:val="none" w:sz="0" w:space="0" w:color="auto"/>
        <w:bottom w:val="none" w:sz="0" w:space="0" w:color="auto"/>
        <w:right w:val="none" w:sz="0" w:space="0" w:color="auto"/>
      </w:divBdr>
    </w:div>
    <w:div w:id="1908881520">
      <w:bodyDiv w:val="1"/>
      <w:marLeft w:val="0"/>
      <w:marRight w:val="0"/>
      <w:marTop w:val="0"/>
      <w:marBottom w:val="0"/>
      <w:divBdr>
        <w:top w:val="none" w:sz="0" w:space="0" w:color="auto"/>
        <w:left w:val="none" w:sz="0" w:space="0" w:color="auto"/>
        <w:bottom w:val="none" w:sz="0" w:space="0" w:color="auto"/>
        <w:right w:val="none" w:sz="0" w:space="0" w:color="auto"/>
      </w:divBdr>
    </w:div>
    <w:div w:id="1966958599">
      <w:bodyDiv w:val="1"/>
      <w:marLeft w:val="0"/>
      <w:marRight w:val="0"/>
      <w:marTop w:val="0"/>
      <w:marBottom w:val="0"/>
      <w:divBdr>
        <w:top w:val="none" w:sz="0" w:space="0" w:color="auto"/>
        <w:left w:val="none" w:sz="0" w:space="0" w:color="auto"/>
        <w:bottom w:val="none" w:sz="0" w:space="0" w:color="auto"/>
        <w:right w:val="none" w:sz="0" w:space="0" w:color="auto"/>
      </w:divBdr>
    </w:div>
    <w:div w:id="2051301086">
      <w:bodyDiv w:val="1"/>
      <w:marLeft w:val="0"/>
      <w:marRight w:val="0"/>
      <w:marTop w:val="0"/>
      <w:marBottom w:val="0"/>
      <w:divBdr>
        <w:top w:val="none" w:sz="0" w:space="0" w:color="auto"/>
        <w:left w:val="none" w:sz="0" w:space="0" w:color="auto"/>
        <w:bottom w:val="none" w:sz="0" w:space="0" w:color="auto"/>
        <w:right w:val="none" w:sz="0" w:space="0" w:color="auto"/>
      </w:divBdr>
    </w:div>
    <w:div w:id="212731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eg-technology.com/index2.php?option=com_docman&amp;task=doc_view&amp;gid=81&amp;Itemid=9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pe.njit.edu/dlnotes/CHE685/Cls12-1.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yperlink" Target="http://appliedfilter.com/biogas-filtration-technology/biogas-research/index.html" TargetMode="External"/><Relationship Id="rId10" Type="http://schemas.openxmlformats.org/officeDocument/2006/relationships/image" Target="media/image1.w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e.mcadam@cranfield.ac.uk" TargetMode="External"/><Relationship Id="rId14" Type="http://schemas.openxmlformats.org/officeDocument/2006/relationships/hyperlink" Target="http://www.flexibulk.co.uk/flexibulk_web/download/46580_Ad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01ED5-DC68-43B4-9B55-4900FAC16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4642</Words>
  <Characters>26464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vt:lpstr>
    </vt:vector>
  </TitlesOfParts>
  <Company>Cranfield IT Department</Company>
  <LinksUpToDate>false</LinksUpToDate>
  <CharactersWithSpaces>31044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s159701</dc:creator>
  <cp:lastModifiedBy>"%username%"</cp:lastModifiedBy>
  <cp:revision>2</cp:revision>
  <cp:lastPrinted>2014-04-29T16:38:00Z</cp:lastPrinted>
  <dcterms:created xsi:type="dcterms:W3CDTF">2016-06-08T15:24:00Z</dcterms:created>
  <dcterms:modified xsi:type="dcterms:W3CDTF">2016-06-08T15:24:00Z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8528</vt:lpwstr>
  </property>
  <property fmtid="{D5CDD505-2E9C-101B-9397-08002B2CF9AE}" pid="3" name="WnCSubscriberId">
    <vt:lpwstr>3358</vt:lpwstr>
  </property>
  <property fmtid="{D5CDD505-2E9C-101B-9397-08002B2CF9AE}" pid="4" name="WnCOutputStyleId">
    <vt:lpwstr>2607</vt:lpwstr>
  </property>
  <property fmtid="{D5CDD505-2E9C-101B-9397-08002B2CF9AE}" pid="5" name="RWProductId">
    <vt:lpwstr>WnC</vt:lpwstr>
  </property>
  <property fmtid="{D5CDD505-2E9C-101B-9397-08002B2CF9AE}" pid="6" name="WnC4Folder">
    <vt:lpwstr>Documents///C Hep Onsite assessment paper draft 4</vt:lpwstr>
  </property>
</Properties>
</file>